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+*xfs*pvs*lsu*cvA*xBj*tCi*stD*uxy*ctk*CcE*pBk*-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+*yqw*ziF*vja*dyD*xaD*mDo*yCn*woE*CjE*jus*zew*-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+*eDs*lyd*lyd*lyd*lyd*gfk*rwu*mcz*plz*xrt*zfE*-</w:t>
            </w:r>
            <w:r>
              <w:rPr>
                <w:rFonts w:ascii="PDF417x" w:hAnsi="PDF417x"/>
                <w:sz w:val="24"/>
                <w:szCs w:val="24"/>
              </w:rPr>
              <w:br/>
              <w:t>+*ftw*vln*xtD*ocg*bBu*pDA*gyb*kso*Bll*mts*onA*-</w:t>
            </w:r>
            <w:r>
              <w:rPr>
                <w:rFonts w:ascii="PDF417x" w:hAnsi="PDF417x"/>
                <w:sz w:val="24"/>
                <w:szCs w:val="24"/>
              </w:rPr>
              <w:br/>
              <w:t>+*ftA*wmB*Avx*yiu*dzb*viB*qbo*hjs*xqB*uDq*uws*-</w:t>
            </w:r>
            <w:r>
              <w:rPr>
                <w:rFonts w:ascii="PDF417x" w:hAnsi="PDF417x"/>
                <w:sz w:val="24"/>
                <w:szCs w:val="24"/>
              </w:rPr>
              <w:br/>
              <w:t>+*xjq*vFy*Awn*bkl*rqi*jaa*BwF*fDw*bsu*aki*uzq*-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E39A208" w14:textId="57B6FCBA" w:rsidR="007F3DA7" w:rsidRDefault="007F3DA7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749119F">
            <wp:simplePos x="0" y="0"/>
            <wp:positionH relativeFrom="margin">
              <wp:align>left</wp:align>
            </wp:positionH>
            <wp:positionV relativeFrom="paragraph">
              <wp:posOffset>-438619</wp:posOffset>
            </wp:positionV>
            <wp:extent cx="430281" cy="570183"/>
            <wp:effectExtent l="0" t="0" r="8255" b="1905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" cy="5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21CD" w14:textId="7BD93AF0" w:rsidR="008C5FE5" w:rsidRPr="00382971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382971">
        <w:rPr>
          <w:rFonts w:ascii="Times New Roman" w:eastAsia="Times New Roman" w:hAnsi="Times New Roman" w:cs="Times New Roman"/>
        </w:rPr>
        <w:t>REPUBLIKA HRVATSKA</w:t>
      </w:r>
    </w:p>
    <w:p w14:paraId="7E529F4F" w14:textId="3E468197" w:rsidR="00F239B7" w:rsidRPr="00382971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382971">
        <w:rPr>
          <w:rFonts w:ascii="Times New Roman" w:eastAsia="Times New Roman" w:hAnsi="Times New Roman" w:cs="Times New Roman"/>
        </w:rPr>
        <w:t xml:space="preserve">SISAČKO-MOSLAVAČKA </w:t>
      </w:r>
      <w:r w:rsidR="007F3DA7" w:rsidRPr="00382971">
        <w:rPr>
          <w:rFonts w:ascii="Times New Roman" w:eastAsia="Times New Roman" w:hAnsi="Times New Roman" w:cs="Times New Roman"/>
        </w:rPr>
        <w:t>ŽUPANIJA</w:t>
      </w:r>
    </w:p>
    <w:p w14:paraId="1881CB8B" w14:textId="21F07527" w:rsidR="008C5FE5" w:rsidRPr="00382971" w:rsidRDefault="00F239B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GRAD KUTINA</w:t>
      </w:r>
    </w:p>
    <w:p w14:paraId="75F812B6" w14:textId="10490ED8" w:rsidR="008C5FE5" w:rsidRPr="002A6A96" w:rsidRDefault="002A6A96" w:rsidP="00B92D0F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2A6A96">
        <w:rPr>
          <w:rFonts w:ascii="Times New Roman" w:eastAsia="Times New Roman" w:hAnsi="Times New Roman" w:cs="Times New Roman"/>
          <w:noProof w:val="0"/>
          <w:lang w:eastAsia="hr-HR"/>
        </w:rPr>
        <w:t>UO za financije</w:t>
      </w:r>
    </w:p>
    <w:p w14:paraId="2E955F68" w14:textId="466A4579" w:rsidR="00B92D0F" w:rsidRPr="00382971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57311DEA" w:rsidR="00B92D0F" w:rsidRPr="0038297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B92D0F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400-04/24-01/2</w:t>
      </w:r>
      <w:r w:rsidR="008C5FE5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38297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2176-3-05-01/01-24-1</w:t>
      </w:r>
    </w:p>
    <w:p w14:paraId="4445648A" w14:textId="20367C9A" w:rsidR="00B92D0F" w:rsidRPr="00382971" w:rsidRDefault="00F239B7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lang w:eastAsia="hr-HR"/>
        </w:rPr>
        <w:t>Kutina</w:t>
      </w:r>
      <w:r w:rsidR="00C9578C" w:rsidRPr="00382971">
        <w:rPr>
          <w:rFonts w:ascii="Times New Roman" w:eastAsia="Times New Roman" w:hAnsi="Times New Roman" w:cs="Times New Roman"/>
          <w:noProof w:val="0"/>
          <w:lang w:eastAsia="hr-HR"/>
        </w:rPr>
        <w:t>,</w:t>
      </w:r>
      <w:r w:rsidR="00C9578C" w:rsidRPr="00382971">
        <w:rPr>
          <w:rFonts w:ascii="Times New Roman" w:eastAsia="Times New Roman" w:hAnsi="Times New Roman" w:cs="Times New Roman"/>
          <w:noProof w:val="0"/>
          <w:color w:val="FF0000"/>
          <w:lang w:eastAsia="hr-HR"/>
        </w:rPr>
        <w:t xml:space="preserve"> </w:t>
      </w:r>
      <w:r w:rsidR="00B92D0F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09.07.2024.</w:t>
      </w:r>
    </w:p>
    <w:p w14:paraId="352EE15E" w14:textId="77777777" w:rsidR="00B92D0F" w:rsidRPr="00382971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6288A7D1" w14:textId="77777777" w:rsidR="00B92D0F" w:rsidRPr="00382971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1BD4E6FF" w14:textId="77777777" w:rsidR="00D707B3" w:rsidRPr="00382971" w:rsidRDefault="00D707B3" w:rsidP="00D707B3">
      <w:pPr>
        <w:rPr>
          <w:rFonts w:ascii="Times New Roman" w:hAnsi="Times New Roman" w:cs="Times New Roman"/>
        </w:rPr>
      </w:pPr>
    </w:p>
    <w:p w14:paraId="2CF6578C" w14:textId="77777777" w:rsidR="002A6A96" w:rsidRDefault="002A6A96" w:rsidP="002A6A96">
      <w:pPr>
        <w:tabs>
          <w:tab w:val="left" w:pos="720"/>
        </w:tabs>
        <w:spacing w:line="360" w:lineRule="auto"/>
        <w:rPr>
          <w:noProof w:val="0"/>
        </w:rPr>
      </w:pPr>
      <w:r>
        <w:t>GRAD KUTINA, Trg kralja Tomislava 12, 44320 KUTINA</w:t>
      </w:r>
      <w:r>
        <w:rPr>
          <w:rFonts w:ascii="Arial" w:hAnsi="Arial" w:cs="Arial"/>
          <w:iCs/>
          <w:snapToGrid w:val="0"/>
          <w:lang w:val="pl-PL"/>
        </w:rPr>
        <w:t xml:space="preserve">  </w:t>
      </w:r>
    </w:p>
    <w:p w14:paraId="018973D3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ŠIFRA ŽUPANIJE, GRADA ILI OPĆINE   220</w:t>
      </w:r>
    </w:p>
    <w:p w14:paraId="112D1097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BROJ RKP-a                                                28991</w:t>
      </w:r>
    </w:p>
    <w:p w14:paraId="08E22768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MATIČNI BROJ                                          2580535</w:t>
      </w:r>
    </w:p>
    <w:p w14:paraId="670E88BF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OIB                                                               41888874500</w:t>
      </w:r>
    </w:p>
    <w:p w14:paraId="33A10647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RAZINA                                                       22</w:t>
      </w:r>
    </w:p>
    <w:p w14:paraId="437AAFC1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RAZDJEL 000 – NEMA RAZDJELA</w:t>
      </w:r>
    </w:p>
    <w:p w14:paraId="54B55069" w14:textId="77777777" w:rsidR="002A6A96" w:rsidRDefault="002A6A96" w:rsidP="002A6A96">
      <w:pPr>
        <w:tabs>
          <w:tab w:val="left" w:pos="3402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ŠIFRA DJELATNOSTI                               8411</w:t>
      </w:r>
    </w:p>
    <w:p w14:paraId="4ADAA90E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RAZDOBLJE 01.01 – 30.06. 2024.</w:t>
      </w:r>
    </w:p>
    <w:p w14:paraId="419460EB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</w:p>
    <w:p w14:paraId="7456E13F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</w:p>
    <w:p w14:paraId="440C31D6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  <w:b/>
        </w:rPr>
      </w:pPr>
      <w:r>
        <w:rPr>
          <w:rFonts w:eastAsia="Calibri"/>
          <w:b/>
        </w:rPr>
        <w:t>BILJEŠKE UZ FINANCIJSKE IZVJEŠTAJE ZA 01.01. – 30. 06. 2024. godine</w:t>
      </w:r>
    </w:p>
    <w:p w14:paraId="22E0B3A3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  <w:b/>
        </w:rPr>
      </w:pPr>
    </w:p>
    <w:p w14:paraId="21584657" w14:textId="77777777" w:rsidR="002A6A96" w:rsidRDefault="002A6A96" w:rsidP="002A6A96">
      <w:pPr>
        <w:tabs>
          <w:tab w:val="left" w:pos="720"/>
        </w:tabs>
        <w:spacing w:after="160"/>
        <w:contextualSpacing/>
        <w:rPr>
          <w:rFonts w:eastAsia="Calibri"/>
        </w:rPr>
      </w:pPr>
    </w:p>
    <w:p w14:paraId="528F2E14" w14:textId="77777777" w:rsidR="002A6A96" w:rsidRDefault="002A6A96" w:rsidP="002A6A96">
      <w:pPr>
        <w:tabs>
          <w:tab w:val="left" w:pos="720"/>
        </w:tabs>
        <w:spacing w:line="360" w:lineRule="auto"/>
        <w:rPr>
          <w:rFonts w:eastAsia="Times New Roman"/>
          <w:iCs/>
          <w:snapToGrid w:val="0"/>
          <w:lang w:val="pl-PL"/>
        </w:rPr>
      </w:pPr>
    </w:p>
    <w:p w14:paraId="59E79120" w14:textId="77777777" w:rsidR="002A6A96" w:rsidRDefault="002A6A96" w:rsidP="002A6A96">
      <w:pPr>
        <w:rPr>
          <w:b/>
        </w:rPr>
      </w:pPr>
      <w:r>
        <w:rPr>
          <w:b/>
        </w:rPr>
        <w:t>BILJEŠKE UZ OBRAZAC PR-RAS</w:t>
      </w:r>
    </w:p>
    <w:p w14:paraId="23B76CFE" w14:textId="77777777" w:rsidR="002A6A96" w:rsidRDefault="002A6A96" w:rsidP="002A6A96"/>
    <w:p w14:paraId="4EDD031F" w14:textId="77777777" w:rsidR="002A6A96" w:rsidRDefault="002A6A96" w:rsidP="002A6A96">
      <w:pPr>
        <w:spacing w:line="276" w:lineRule="auto"/>
      </w:pPr>
      <w:r>
        <w:t>U obrascu PR-RAS u ostvarenim prihodima i primicima, te rashodima i izdacima nisu uključeni vlastiti prihodi i primici, te vlastiti rashodi i izdaci proračunskih korisnika.</w:t>
      </w:r>
    </w:p>
    <w:p w14:paraId="0FCD949B" w14:textId="77777777" w:rsidR="002A6A96" w:rsidRDefault="002A6A96" w:rsidP="002A6A96">
      <w:pPr>
        <w:spacing w:line="276" w:lineRule="auto"/>
      </w:pPr>
    </w:p>
    <w:p w14:paraId="5CCAB7B4" w14:textId="77777777" w:rsidR="002A6A96" w:rsidRDefault="002A6A96" w:rsidP="002A6A96">
      <w:pPr>
        <w:spacing w:line="276" w:lineRule="auto"/>
      </w:pPr>
      <w:r>
        <w:rPr>
          <w:b/>
        </w:rPr>
        <w:t>611 – Porez i prirez na dohodak</w:t>
      </w:r>
      <w:r>
        <w:t xml:space="preserve"> –  povećanje u odnosu na isto razdoblje 2023. godine evidentirano prema Uputi o evidentiranju prihoda od poreza na dohodak kod jedinica lokalne i područne (regionalne) samouprave temeljem izvještaja koje ispostavlja Fina nastalo zbog povećanog priljeva od poreza na dohodak od nesamostalnog rada i samostalnih djelatnosti te povrata poreza na dohodak po godišnjoj prijavi. Prema Izvještaju po vrstama poreza na dohodak P-2/1 ukupan porez je 3.359.517,50 eura</w:t>
      </w:r>
    </w:p>
    <w:p w14:paraId="67F65379" w14:textId="77777777" w:rsidR="002A6A96" w:rsidRDefault="002A6A96" w:rsidP="002A6A96">
      <w:pPr>
        <w:spacing w:line="276" w:lineRule="auto"/>
      </w:pPr>
    </w:p>
    <w:p w14:paraId="6FED360D" w14:textId="77777777" w:rsidR="002A6A96" w:rsidRDefault="002A6A96" w:rsidP="002A6A96">
      <w:pPr>
        <w:spacing w:line="276" w:lineRule="auto"/>
      </w:pPr>
      <w:r>
        <w:rPr>
          <w:b/>
        </w:rPr>
        <w:t>6131 – Stalni porezi na nepokretnu imovinu</w:t>
      </w:r>
      <w:r>
        <w:t xml:space="preserve"> – nema usporednog podatka iz 2023.godine, a odnosi se na porez na korištenje javnih površina koji je u primjeni od 01.01.2024.</w:t>
      </w:r>
    </w:p>
    <w:p w14:paraId="7A3F7C8B" w14:textId="77777777" w:rsidR="002A6A96" w:rsidRDefault="002A6A96" w:rsidP="002A6A96">
      <w:pPr>
        <w:spacing w:line="276" w:lineRule="auto"/>
      </w:pPr>
    </w:p>
    <w:p w14:paraId="7099C905" w14:textId="77777777" w:rsidR="002A6A96" w:rsidRDefault="002A6A96" w:rsidP="002A6A96">
      <w:pPr>
        <w:spacing w:line="276" w:lineRule="auto"/>
      </w:pPr>
      <w:r>
        <w:rPr>
          <w:b/>
        </w:rPr>
        <w:t>6134 – Povremeni porezi na imovinu</w:t>
      </w:r>
      <w:r>
        <w:t xml:space="preserve"> – povećanje u odnosu na isto razdoblje 2023. godine zbog povećanog priljeva poreza na promet nekretnina</w:t>
      </w:r>
    </w:p>
    <w:p w14:paraId="56C1ADA4" w14:textId="77777777" w:rsidR="002A6A96" w:rsidRDefault="002A6A96" w:rsidP="002A6A96">
      <w:pPr>
        <w:spacing w:line="276" w:lineRule="auto"/>
      </w:pPr>
      <w:r>
        <w:rPr>
          <w:b/>
        </w:rPr>
        <w:t xml:space="preserve">6142 </w:t>
      </w:r>
      <w:r>
        <w:t xml:space="preserve">– </w:t>
      </w:r>
      <w:r>
        <w:rPr>
          <w:b/>
        </w:rPr>
        <w:t>Porez na promet</w:t>
      </w:r>
      <w:r>
        <w:t xml:space="preserve"> – višestruko povećanje u odnosu na isto razdoblje 2023. godine, a odnosi se na porez na potrošnju </w:t>
      </w:r>
    </w:p>
    <w:p w14:paraId="5F2F4AE9" w14:textId="77777777" w:rsidR="002A6A96" w:rsidRDefault="002A6A96" w:rsidP="002A6A96">
      <w:pPr>
        <w:spacing w:line="276" w:lineRule="auto"/>
      </w:pPr>
    </w:p>
    <w:p w14:paraId="3459C0C9" w14:textId="77777777" w:rsidR="002A6A96" w:rsidRDefault="002A6A96" w:rsidP="002A6A96">
      <w:pPr>
        <w:spacing w:line="276" w:lineRule="auto"/>
      </w:pPr>
      <w:r>
        <w:rPr>
          <w:b/>
        </w:rPr>
        <w:t>6331 – Tekuće pomoći proračunu iz drugih proračuna i izvanproračunskim korisnicima</w:t>
      </w:r>
      <w:r>
        <w:t xml:space="preserve"> – povećanje u odnosu na isto razdoblje 2023. godine, nastalo zbog primljenih sredstava za fiskalno izravnanje za </w:t>
      </w:r>
      <w:r>
        <w:lastRenderedPageBreak/>
        <w:t>dječji vrtić, te sredstva za dodjelu pomoći za ublažavanje i uklanjanje posljedica prirodnih nepogoda nastalih u 7. mjesecu 2023. godine</w:t>
      </w:r>
    </w:p>
    <w:p w14:paraId="7245A753" w14:textId="77777777" w:rsidR="002A6A96" w:rsidRDefault="002A6A96" w:rsidP="002A6A96">
      <w:pPr>
        <w:spacing w:line="276" w:lineRule="auto"/>
      </w:pPr>
    </w:p>
    <w:p w14:paraId="7530FFDA" w14:textId="77777777" w:rsidR="002A6A96" w:rsidRDefault="002A6A96" w:rsidP="002A6A96">
      <w:pPr>
        <w:spacing w:line="276" w:lineRule="auto"/>
      </w:pPr>
      <w:r>
        <w:rPr>
          <w:b/>
        </w:rPr>
        <w:t>6342 – Kapitalne pomoći od izvanproračunskih korisnika</w:t>
      </w:r>
      <w:r>
        <w:t xml:space="preserve"> – višestruko povećanje u odnosu na isto razdoblje 2023. godine, a odnosi se na primljena sredstva za sanaciju klizišta u Gojlskoj ulici</w:t>
      </w:r>
    </w:p>
    <w:p w14:paraId="73D45331" w14:textId="77777777" w:rsidR="002A6A96" w:rsidRDefault="002A6A96" w:rsidP="002A6A96">
      <w:pPr>
        <w:spacing w:line="276" w:lineRule="auto"/>
      </w:pPr>
    </w:p>
    <w:p w14:paraId="33886887" w14:textId="77777777" w:rsidR="002A6A96" w:rsidRDefault="002A6A96" w:rsidP="002A6A96">
      <w:pPr>
        <w:spacing w:line="276" w:lineRule="auto"/>
      </w:pPr>
      <w:r>
        <w:rPr>
          <w:b/>
        </w:rPr>
        <w:t>6381 – Tekuće pomoći temeljem prijenosa EU sredstava</w:t>
      </w:r>
      <w:r>
        <w:t xml:space="preserve"> – povećanje u odnosu na isto razdoblje 2023. godine, a odnosi se na primljena sredstva za projekt Pomoćnici u nastavi i projekt Geotermalne energije</w:t>
      </w:r>
    </w:p>
    <w:p w14:paraId="131EC1E9" w14:textId="77777777" w:rsidR="002A6A96" w:rsidRDefault="002A6A96" w:rsidP="002A6A96">
      <w:pPr>
        <w:spacing w:line="276" w:lineRule="auto"/>
        <w:rPr>
          <w:color w:val="FF0000"/>
        </w:rPr>
      </w:pPr>
    </w:p>
    <w:p w14:paraId="1E01CA55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 xml:space="preserve">6382 – Kapitalne pomoći temeljem prijenosa EU sredstava – </w:t>
      </w:r>
      <w:r>
        <w:rPr>
          <w:bCs/>
        </w:rPr>
        <w:t>smanjenje u odnosu na  isto razdoblje 2023. godine, a odnosi se na primljena sredstva za projekt Zelena urbana obnova grada Kutine</w:t>
      </w:r>
    </w:p>
    <w:p w14:paraId="45BBEBAE" w14:textId="77777777" w:rsidR="002A6A96" w:rsidRDefault="002A6A96" w:rsidP="002A6A96">
      <w:pPr>
        <w:spacing w:line="276" w:lineRule="auto"/>
        <w:rPr>
          <w:bCs/>
        </w:rPr>
      </w:pPr>
    </w:p>
    <w:p w14:paraId="554D5304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6531 – Komunalni doprinosi</w:t>
      </w:r>
      <w:r>
        <w:rPr>
          <w:bCs/>
        </w:rPr>
        <w:t xml:space="preserve"> – povećanje u odnosu na isto razdoblje 2023. godine za 35,6%, zbog bolje naplate dugovanja</w:t>
      </w:r>
    </w:p>
    <w:p w14:paraId="1276B45F" w14:textId="77777777" w:rsidR="002A6A96" w:rsidRDefault="002A6A96" w:rsidP="002A6A96">
      <w:pPr>
        <w:spacing w:line="276" w:lineRule="auto"/>
        <w:rPr>
          <w:bCs/>
        </w:rPr>
      </w:pPr>
    </w:p>
    <w:p w14:paraId="6EF253E9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6532 – Komunalne naknade</w:t>
      </w:r>
      <w:r>
        <w:rPr>
          <w:bCs/>
        </w:rPr>
        <w:t xml:space="preserve"> - povećanje u odnosu na isto razdoblje 2023. godine za 25 %, zbog bolje naplate dugovanja</w:t>
      </w:r>
    </w:p>
    <w:p w14:paraId="618A02B6" w14:textId="77777777" w:rsidR="002A6A96" w:rsidRDefault="002A6A96" w:rsidP="002A6A96">
      <w:pPr>
        <w:spacing w:line="276" w:lineRule="auto"/>
        <w:rPr>
          <w:bCs/>
        </w:rPr>
      </w:pPr>
    </w:p>
    <w:p w14:paraId="0696DDB5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6615 – Prihodi od pruženih usluga</w:t>
      </w:r>
      <w:r>
        <w:rPr>
          <w:bCs/>
        </w:rPr>
        <w:t xml:space="preserve"> – povećanje u odnosu na isto razdoblje 2023.g. za 58,8 %, a odnosi se na prihod od pruženih usluga naplate NUV-a</w:t>
      </w:r>
    </w:p>
    <w:p w14:paraId="64C41735" w14:textId="77777777" w:rsidR="002A6A96" w:rsidRDefault="002A6A96" w:rsidP="002A6A96">
      <w:pPr>
        <w:spacing w:line="276" w:lineRule="auto"/>
        <w:rPr>
          <w:bCs/>
        </w:rPr>
      </w:pPr>
    </w:p>
    <w:p w14:paraId="51BB3DC5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6819 – Ostale kazne</w:t>
      </w:r>
      <w:r>
        <w:rPr>
          <w:bCs/>
        </w:rPr>
        <w:t xml:space="preserve"> – povećanje u odnosu na isto razdoblje 2023.g., a odnosi se na prihod od uplaćenih kazni – prometno redarstvo</w:t>
      </w:r>
    </w:p>
    <w:p w14:paraId="173D8F87" w14:textId="77777777" w:rsidR="002A6A96" w:rsidRDefault="002A6A96" w:rsidP="002A6A96">
      <w:pPr>
        <w:spacing w:line="276" w:lineRule="auto"/>
        <w:rPr>
          <w:bCs/>
        </w:rPr>
      </w:pPr>
    </w:p>
    <w:p w14:paraId="2FB7E32B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 xml:space="preserve">311 – Plaće – </w:t>
      </w:r>
      <w:r>
        <w:rPr>
          <w:bCs/>
        </w:rPr>
        <w:t>povećanje u odnosu na isto razdoblje prethodne godine nastalo zbog povećanja plaća od 2023.godine</w:t>
      </w:r>
    </w:p>
    <w:p w14:paraId="3C92BA25" w14:textId="77777777" w:rsidR="002A6A96" w:rsidRDefault="002A6A96" w:rsidP="002A6A96">
      <w:pPr>
        <w:spacing w:line="276" w:lineRule="auto"/>
        <w:rPr>
          <w:bCs/>
        </w:rPr>
      </w:pPr>
    </w:p>
    <w:p w14:paraId="63FBE8E4" w14:textId="77777777" w:rsidR="002A6A96" w:rsidRDefault="002A6A96" w:rsidP="002A6A96">
      <w:pPr>
        <w:spacing w:line="276" w:lineRule="auto"/>
      </w:pPr>
      <w:r>
        <w:rPr>
          <w:b/>
        </w:rPr>
        <w:t xml:space="preserve">3113 – Plaće za prekovremeni rad – </w:t>
      </w:r>
      <w:r>
        <w:t>povećanje u odnosu na isto razdoblje 2023. godine nastalo zbog povećanog obujma posla</w:t>
      </w:r>
    </w:p>
    <w:p w14:paraId="52226FA8" w14:textId="77777777" w:rsidR="002A6A96" w:rsidRDefault="002A6A96" w:rsidP="002A6A96">
      <w:pPr>
        <w:spacing w:line="276" w:lineRule="auto"/>
        <w:rPr>
          <w:b/>
        </w:rPr>
      </w:pPr>
    </w:p>
    <w:p w14:paraId="0E227167" w14:textId="77777777" w:rsidR="002A6A96" w:rsidRDefault="002A6A96" w:rsidP="002A6A96">
      <w:pPr>
        <w:spacing w:line="276" w:lineRule="auto"/>
        <w:rPr>
          <w:b/>
        </w:rPr>
      </w:pPr>
      <w:r>
        <w:rPr>
          <w:b/>
        </w:rPr>
        <w:t>312 – Ostali rashodi za zaposlene – povećanje u odnosu na isto razdoblje prethodne godine zbog povećanog broja jubilarnih nagrada i povećanja iznosa za neoporezive naknade za zaposlenike (topli obrok)</w:t>
      </w:r>
    </w:p>
    <w:p w14:paraId="5A652913" w14:textId="77777777" w:rsidR="002A6A96" w:rsidRDefault="002A6A96" w:rsidP="002A6A96">
      <w:pPr>
        <w:spacing w:line="276" w:lineRule="auto"/>
        <w:rPr>
          <w:bCs/>
        </w:rPr>
      </w:pPr>
    </w:p>
    <w:p w14:paraId="75E5A1A1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3211 – Službena putovanja</w:t>
      </w:r>
      <w:r>
        <w:rPr>
          <w:bCs/>
        </w:rPr>
        <w:t xml:space="preserve"> – povećanje u odnosu na isto razdoblje 2023. godine zbog većeg broja odlazaka na seminare i savjetovanja</w:t>
      </w:r>
    </w:p>
    <w:p w14:paraId="057694A1" w14:textId="77777777" w:rsidR="002A6A96" w:rsidRDefault="002A6A96" w:rsidP="002A6A96">
      <w:pPr>
        <w:spacing w:line="276" w:lineRule="auto"/>
        <w:rPr>
          <w:bCs/>
        </w:rPr>
      </w:pPr>
    </w:p>
    <w:p w14:paraId="313090C6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3212 – Naknade za prijevoz, za rad na terenu i odvojeni život</w:t>
      </w:r>
      <w:r>
        <w:rPr>
          <w:bCs/>
        </w:rPr>
        <w:t xml:space="preserve"> – smanjenje u odnosu na isto razdoblje prethodne godine nastalo zbog manjeg smanjenja cijene prijevoza, te zbog odlaska dvoje djelatnika i zbog dužeg bolovanja</w:t>
      </w:r>
    </w:p>
    <w:p w14:paraId="2F2EBCD2" w14:textId="77777777" w:rsidR="002A6A96" w:rsidRDefault="002A6A96" w:rsidP="002A6A96">
      <w:pPr>
        <w:spacing w:line="276" w:lineRule="auto"/>
        <w:rPr>
          <w:bCs/>
        </w:rPr>
      </w:pPr>
    </w:p>
    <w:p w14:paraId="2F0E834E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 xml:space="preserve">3223 – Energija – </w:t>
      </w:r>
      <w:r>
        <w:t>povećanje u odnosu na isto razdoblje 2023. godine, zbog zaprimljenih računa za plin</w:t>
      </w:r>
    </w:p>
    <w:p w14:paraId="5AD017F5" w14:textId="77777777" w:rsidR="002A6A96" w:rsidRDefault="002A6A96" w:rsidP="002A6A96">
      <w:pPr>
        <w:spacing w:line="276" w:lineRule="auto"/>
        <w:rPr>
          <w:bCs/>
        </w:rPr>
      </w:pPr>
    </w:p>
    <w:p w14:paraId="7C33FCEC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 xml:space="preserve">3232 – Usluge tekućeg i investicijskog održavanja – </w:t>
      </w:r>
      <w:r>
        <w:rPr>
          <w:bCs/>
        </w:rPr>
        <w:t>povećanje u odnosu na isto razdoblje 2023.g.  zbog povećanog ulaganja u održavanje objekata i ostale imovine Grada</w:t>
      </w:r>
    </w:p>
    <w:p w14:paraId="717AF1A7" w14:textId="77777777" w:rsidR="002A6A96" w:rsidRDefault="002A6A96" w:rsidP="002A6A96">
      <w:pPr>
        <w:spacing w:line="276" w:lineRule="auto"/>
        <w:rPr>
          <w:bCs/>
        </w:rPr>
      </w:pPr>
    </w:p>
    <w:p w14:paraId="149580B1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lastRenderedPageBreak/>
        <w:t>3235 – Zakupnine i najamnine</w:t>
      </w:r>
      <w:r>
        <w:rPr>
          <w:bCs/>
        </w:rPr>
        <w:t xml:space="preserve"> – </w:t>
      </w:r>
      <w:bookmarkStart w:id="1" w:name="_Hlk132038216"/>
      <w:r>
        <w:rPr>
          <w:bCs/>
        </w:rPr>
        <w:t>povećanje u odnosu na isto razdoblje 2023. godine zbog troška vezanog za klizalište, troškova naknade za osnivanje prava služnosti, te najmova opreme i prostora</w:t>
      </w:r>
    </w:p>
    <w:p w14:paraId="4676C4DE" w14:textId="77777777" w:rsidR="002A6A96" w:rsidRDefault="002A6A96" w:rsidP="002A6A96">
      <w:pPr>
        <w:spacing w:line="276" w:lineRule="auto"/>
        <w:rPr>
          <w:bCs/>
        </w:rPr>
      </w:pPr>
    </w:p>
    <w:p w14:paraId="556B45D3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3237 – Intelektualne usluge</w:t>
      </w:r>
      <w:r>
        <w:rPr>
          <w:bCs/>
        </w:rPr>
        <w:t xml:space="preserve"> – povećanje u odnosu na isto razdoblje 2023. godine, a odnosi se na javnobilježničke usluge, izradu geodetskih elaborata, izradu elaborata zaštite okoliša, izradu predinvesticijskih studija, priprema projektnih prijedloga, usluga izrade Akcijskog plana energetski održivog razvoja, izrade troškovnika</w:t>
      </w:r>
    </w:p>
    <w:p w14:paraId="0F628CF1" w14:textId="77777777" w:rsidR="002A6A96" w:rsidRDefault="002A6A96" w:rsidP="002A6A96">
      <w:pPr>
        <w:spacing w:line="276" w:lineRule="auto"/>
        <w:rPr>
          <w:bCs/>
        </w:rPr>
      </w:pPr>
    </w:p>
    <w:p w14:paraId="52C5B27F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3238 – Računalne usluge</w:t>
      </w:r>
      <w:r>
        <w:rPr>
          <w:bCs/>
        </w:rPr>
        <w:t xml:space="preserve"> – povećanje u odnosu na isto razdoblje 2023. godine nastalo zbog povećanja cijene računalnih usluga</w:t>
      </w:r>
    </w:p>
    <w:p w14:paraId="055D8DC7" w14:textId="77777777" w:rsidR="002A6A96" w:rsidRDefault="002A6A96" w:rsidP="002A6A96">
      <w:pPr>
        <w:spacing w:line="276" w:lineRule="auto"/>
        <w:rPr>
          <w:bCs/>
        </w:rPr>
      </w:pPr>
    </w:p>
    <w:p w14:paraId="7114C463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324 – Naknade troškova osobama izvan radnog odnosa</w:t>
      </w:r>
      <w:r>
        <w:rPr>
          <w:bCs/>
        </w:rPr>
        <w:t xml:space="preserve"> – povećanje u odnosu na isto razdoblje 2023. godine, </w:t>
      </w:r>
      <w:bookmarkEnd w:id="1"/>
      <w:r>
        <w:rPr>
          <w:bCs/>
        </w:rPr>
        <w:t>a odnosi se na troškove službenog puta – studijsko putovanje po projektu New Stem Abeceda budućnosti i obračun putnog naloga vanjskom suradniku</w:t>
      </w:r>
    </w:p>
    <w:p w14:paraId="44BEF38A" w14:textId="77777777" w:rsidR="002A6A96" w:rsidRDefault="002A6A96" w:rsidP="002A6A96">
      <w:pPr>
        <w:spacing w:line="276" w:lineRule="auto"/>
        <w:rPr>
          <w:bCs/>
        </w:rPr>
      </w:pPr>
    </w:p>
    <w:p w14:paraId="6C91CC6C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3296 – Troškovi sudskih postupaka</w:t>
      </w:r>
      <w:r>
        <w:rPr>
          <w:bCs/>
        </w:rPr>
        <w:t xml:space="preserve"> – povećanje u odnosu na isto razdoblje 2023. godine, a odnosi se na isplate po sudskim predmetima</w:t>
      </w:r>
    </w:p>
    <w:p w14:paraId="305C3C87" w14:textId="77777777" w:rsidR="002A6A96" w:rsidRDefault="002A6A96" w:rsidP="002A6A96">
      <w:pPr>
        <w:spacing w:line="276" w:lineRule="auto"/>
        <w:rPr>
          <w:bCs/>
        </w:rPr>
      </w:pPr>
    </w:p>
    <w:p w14:paraId="5D8AD318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3299 – Ostali nespomenuti rashodi poslovanja</w:t>
      </w:r>
      <w:r>
        <w:rPr>
          <w:bCs/>
        </w:rPr>
        <w:t xml:space="preserve"> - povećanje u odnosu na isto razdoblje 2023. godine, a odnosi se na  troškove vezano za uslugu po projektu Pomoćnici u nastavi, naknada za rad RA Mrav, te plaćeni PDV</w:t>
      </w:r>
    </w:p>
    <w:p w14:paraId="31D12792" w14:textId="77777777" w:rsidR="002A6A96" w:rsidRDefault="002A6A96" w:rsidP="002A6A96">
      <w:pPr>
        <w:spacing w:line="276" w:lineRule="auto"/>
        <w:rPr>
          <w:bCs/>
        </w:rPr>
      </w:pPr>
    </w:p>
    <w:p w14:paraId="3FE7DC70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3523 – Subvencije poljoprivrednicima i obrtnicima</w:t>
      </w:r>
      <w:r>
        <w:rPr>
          <w:bCs/>
        </w:rPr>
        <w:t xml:space="preserve"> – povećanje u odnosu na isto razdoblje 2023. godine, a odnosi se na trošak usluge komunikacijske platforme za informiranje i edukaciju poljoprivrednika</w:t>
      </w:r>
    </w:p>
    <w:p w14:paraId="3D008AB5" w14:textId="77777777" w:rsidR="002A6A96" w:rsidRDefault="002A6A96" w:rsidP="002A6A96">
      <w:pPr>
        <w:spacing w:line="276" w:lineRule="auto"/>
        <w:rPr>
          <w:bCs/>
        </w:rPr>
      </w:pPr>
    </w:p>
    <w:p w14:paraId="58D6094F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 xml:space="preserve">3621 – Tekuće pomoći međunarodnim organizacijama te institucijama i tijelima u EU – </w:t>
      </w:r>
      <w:r>
        <w:t>nema usporednog podatka iz 2023. godine, a odnosi se na isplatu vezanu za projekt Abeceda budućnosti</w:t>
      </w:r>
    </w:p>
    <w:p w14:paraId="26300773" w14:textId="77777777" w:rsidR="002A6A96" w:rsidRDefault="002A6A96" w:rsidP="002A6A96">
      <w:pPr>
        <w:spacing w:line="276" w:lineRule="auto"/>
        <w:rPr>
          <w:bCs/>
        </w:rPr>
      </w:pPr>
    </w:p>
    <w:p w14:paraId="1B9A81E6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3631 – Tekuće pomoći unutar općeg proračuna</w:t>
      </w:r>
      <w:r>
        <w:rPr>
          <w:bCs/>
        </w:rPr>
        <w:t xml:space="preserve"> - povećanje u odnosu na isto razdoblje 2023. godine, a odnosi se na zdravstveni standard</w:t>
      </w:r>
    </w:p>
    <w:p w14:paraId="11761419" w14:textId="77777777" w:rsidR="002A6A96" w:rsidRDefault="002A6A96" w:rsidP="002A6A96">
      <w:pPr>
        <w:spacing w:line="276" w:lineRule="auto"/>
        <w:rPr>
          <w:bCs/>
        </w:rPr>
      </w:pPr>
    </w:p>
    <w:p w14:paraId="79EDB7C1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3661 – Tekuće pomoći proračunskim korisnicima drugih proračuna</w:t>
      </w:r>
      <w:r>
        <w:rPr>
          <w:bCs/>
        </w:rPr>
        <w:t xml:space="preserve"> – povećanje u odnosu na isto razdoblje 2023. godine, a odnosi se na isplate po projektu Abeceda budućnosti – New Stem</w:t>
      </w:r>
    </w:p>
    <w:p w14:paraId="2FAF5B8E" w14:textId="77777777" w:rsidR="002A6A96" w:rsidRDefault="002A6A96" w:rsidP="002A6A96">
      <w:pPr>
        <w:spacing w:line="276" w:lineRule="auto"/>
        <w:rPr>
          <w:b/>
        </w:rPr>
      </w:pPr>
    </w:p>
    <w:p w14:paraId="7558148C" w14:textId="77777777" w:rsidR="002A6A96" w:rsidRDefault="002A6A96" w:rsidP="002A6A96">
      <w:pPr>
        <w:spacing w:line="276" w:lineRule="auto"/>
      </w:pPr>
      <w:r>
        <w:rPr>
          <w:b/>
        </w:rPr>
        <w:t>367 – Prijenosi proračunskim korisnicima iz nadležnog proračuna za financiranje redovne djelatnosti</w:t>
      </w:r>
      <w:r>
        <w:t xml:space="preserve"> – u ukupnom iznosu od 3.220.874,18 eura, a odnosi se na sljedeće proračunske korisnike:</w:t>
      </w:r>
    </w:p>
    <w:p w14:paraId="4F194761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Dječji vrtić    </w:t>
      </w:r>
    </w:p>
    <w:p w14:paraId="17D42C48" w14:textId="77777777" w:rsidR="002A6A96" w:rsidRDefault="002A6A96" w:rsidP="002A6A96">
      <w:pPr>
        <w:spacing w:line="276" w:lineRule="auto"/>
        <w:ind w:left="720"/>
      </w:pPr>
      <w:r>
        <w:t>1.254.974,15 eura  rashodi poslovanja (kto 6711)</w:t>
      </w:r>
    </w:p>
    <w:p w14:paraId="41B38A0B" w14:textId="77777777" w:rsidR="002A6A96" w:rsidRDefault="002A6A96" w:rsidP="002A6A96">
      <w:pPr>
        <w:spacing w:line="276" w:lineRule="auto"/>
        <w:ind w:left="360"/>
      </w:pPr>
      <w:r>
        <w:t xml:space="preserve">             1.290,00 eura nabava nefinancijske imovine (kto 6712)</w:t>
      </w:r>
    </w:p>
    <w:p w14:paraId="1FC39134" w14:textId="77777777" w:rsidR="002A6A96" w:rsidRDefault="002A6A96" w:rsidP="002A6A96">
      <w:pPr>
        <w:spacing w:line="276" w:lineRule="auto"/>
        <w:ind w:left="360"/>
      </w:pPr>
      <w:r>
        <w:t xml:space="preserve">           12.281,94 eura financijska imovina i otplate zajmova(kto 6714)</w:t>
      </w:r>
    </w:p>
    <w:p w14:paraId="2CA63D20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Vatrogasna postrojba Kutina  </w:t>
      </w:r>
    </w:p>
    <w:p w14:paraId="0083C82D" w14:textId="77777777" w:rsidR="002A6A96" w:rsidRDefault="002A6A96" w:rsidP="002A6A96">
      <w:pPr>
        <w:spacing w:line="276" w:lineRule="auto"/>
        <w:ind w:left="720"/>
      </w:pPr>
      <w:r>
        <w:t>528.315,88 eura rashodi poslovanja (kto 6711)</w:t>
      </w:r>
    </w:p>
    <w:p w14:paraId="5AA307C4" w14:textId="77777777" w:rsidR="002A6A96" w:rsidRDefault="002A6A96" w:rsidP="002A6A96">
      <w:pPr>
        <w:spacing w:line="276" w:lineRule="auto"/>
        <w:ind w:left="720"/>
      </w:pPr>
      <w:r>
        <w:t xml:space="preserve">    3.246,47 eura nabava nefinancijske imovine (kto 6712)</w:t>
      </w:r>
    </w:p>
    <w:p w14:paraId="3B6DC47E" w14:textId="77777777" w:rsidR="002A6A96" w:rsidRDefault="002A6A96" w:rsidP="002A6A96">
      <w:pPr>
        <w:spacing w:line="276" w:lineRule="auto"/>
        <w:ind w:left="720"/>
      </w:pPr>
      <w:r>
        <w:t xml:space="preserve">  12.441,24 eura financijska imovina i otplate zajmova (kto 6714)</w:t>
      </w:r>
    </w:p>
    <w:p w14:paraId="7D17F65A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Pučko otvoreno učilište Kutina  </w:t>
      </w:r>
    </w:p>
    <w:p w14:paraId="1B52E012" w14:textId="77777777" w:rsidR="002A6A96" w:rsidRDefault="002A6A96" w:rsidP="002A6A96">
      <w:pPr>
        <w:spacing w:line="276" w:lineRule="auto"/>
        <w:ind w:left="720"/>
      </w:pPr>
      <w:r>
        <w:t xml:space="preserve">107.025,16 eura rashodi poslovanja (kto 6711) </w:t>
      </w:r>
    </w:p>
    <w:p w14:paraId="556AD24D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Knjižnica i čitaonica Kutina  </w:t>
      </w:r>
    </w:p>
    <w:p w14:paraId="7E12C3E9" w14:textId="77777777" w:rsidR="002A6A96" w:rsidRDefault="002A6A96" w:rsidP="002A6A96">
      <w:pPr>
        <w:spacing w:line="276" w:lineRule="auto"/>
        <w:ind w:left="720"/>
      </w:pPr>
      <w:r>
        <w:lastRenderedPageBreak/>
        <w:t xml:space="preserve">   94.252,33 eura rashodi poslovanja (kto 6711)</w:t>
      </w:r>
    </w:p>
    <w:p w14:paraId="30F2D016" w14:textId="77777777" w:rsidR="002A6A96" w:rsidRDefault="002A6A96" w:rsidP="002A6A96">
      <w:pPr>
        <w:spacing w:line="276" w:lineRule="auto"/>
        <w:ind w:left="720"/>
      </w:pPr>
      <w:r>
        <w:t xml:space="preserve">  13.641,38 eura nabava nefinancijske imovine (kto 6712) </w:t>
      </w:r>
    </w:p>
    <w:p w14:paraId="6E259B01" w14:textId="77777777" w:rsidR="002A6A96" w:rsidRDefault="002A6A96" w:rsidP="002A6A96">
      <w:pPr>
        <w:spacing w:line="276" w:lineRule="auto"/>
        <w:rPr>
          <w:b/>
        </w:rPr>
      </w:pPr>
      <w:r>
        <w:rPr>
          <w:b/>
        </w:rPr>
        <w:t xml:space="preserve">     - Muzej Moslavine Kutina</w:t>
      </w:r>
    </w:p>
    <w:p w14:paraId="33B86C5A" w14:textId="77777777" w:rsidR="002A6A96" w:rsidRDefault="002A6A96" w:rsidP="002A6A96">
      <w:pPr>
        <w:spacing w:line="276" w:lineRule="auto"/>
      </w:pPr>
      <w:r>
        <w:t xml:space="preserve">               115.888,87 eura rashodi poslovanja(kto 6711)</w:t>
      </w:r>
    </w:p>
    <w:p w14:paraId="45217D41" w14:textId="77777777" w:rsidR="002A6A96" w:rsidRDefault="002A6A96" w:rsidP="002A6A96">
      <w:pPr>
        <w:spacing w:line="276" w:lineRule="auto"/>
      </w:pPr>
      <w:r>
        <w:t xml:space="preserve">                   3.231,84 eura nabava nefinancijske imovine (kto 6712)                                                  </w:t>
      </w:r>
    </w:p>
    <w:p w14:paraId="30CF082C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OŠ Stjepana Kefelje  </w:t>
      </w:r>
    </w:p>
    <w:p w14:paraId="1179467F" w14:textId="77777777" w:rsidR="002A6A96" w:rsidRDefault="002A6A96" w:rsidP="002A6A96">
      <w:pPr>
        <w:spacing w:line="276" w:lineRule="auto"/>
        <w:ind w:left="720"/>
      </w:pPr>
      <w:r>
        <w:t xml:space="preserve">     155.858,90 eura rashodi poslovanja (kto 6711)</w:t>
      </w:r>
    </w:p>
    <w:p w14:paraId="749226B0" w14:textId="77777777" w:rsidR="002A6A96" w:rsidRDefault="002A6A96" w:rsidP="002A6A96">
      <w:pPr>
        <w:spacing w:line="276" w:lineRule="auto"/>
        <w:ind w:left="720"/>
      </w:pPr>
      <w:r>
        <w:t xml:space="preserve">       32.888,75 eura nabava nefinancijske imovine (kto 6712) </w:t>
      </w:r>
    </w:p>
    <w:p w14:paraId="25E322C1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OŠ Zvonimira Franka  </w:t>
      </w:r>
    </w:p>
    <w:p w14:paraId="15B9007C" w14:textId="77777777" w:rsidR="002A6A96" w:rsidRDefault="002A6A96" w:rsidP="002A6A96">
      <w:pPr>
        <w:spacing w:line="276" w:lineRule="auto"/>
        <w:ind w:left="720"/>
      </w:pPr>
      <w:r>
        <w:t xml:space="preserve">     158.740,72 eura rashodi poslovanja (kto 6711)                </w:t>
      </w:r>
    </w:p>
    <w:p w14:paraId="75545BA0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OŠ Mate Lovraka  </w:t>
      </w:r>
    </w:p>
    <w:p w14:paraId="404C0D60" w14:textId="77777777" w:rsidR="002A6A96" w:rsidRDefault="002A6A96" w:rsidP="002A6A96">
      <w:pPr>
        <w:spacing w:line="276" w:lineRule="auto"/>
        <w:ind w:left="720"/>
      </w:pPr>
      <w:r>
        <w:t xml:space="preserve">     129.792,59 eura rashodi poslovanja (kto 6711)</w:t>
      </w:r>
    </w:p>
    <w:p w14:paraId="40A9E647" w14:textId="77777777" w:rsidR="002A6A96" w:rsidRDefault="002A6A96" w:rsidP="002A6A96">
      <w:pPr>
        <w:spacing w:line="276" w:lineRule="auto"/>
        <w:ind w:left="720"/>
      </w:pPr>
      <w:r>
        <w:t xml:space="preserve">         2.060,00 eura nabava nefinancijske imovine (kto 6712)        </w:t>
      </w:r>
    </w:p>
    <w:p w14:paraId="50F419CB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Osnovna glazbena škola Borisa Papandopula  </w:t>
      </w:r>
    </w:p>
    <w:p w14:paraId="3F8E5F15" w14:textId="77777777" w:rsidR="002A6A96" w:rsidRDefault="002A6A96" w:rsidP="002A6A96">
      <w:pPr>
        <w:spacing w:line="276" w:lineRule="auto"/>
        <w:ind w:left="720"/>
      </w:pPr>
      <w:r>
        <w:t xml:space="preserve">       6.059,96 eura rashodi poslovanja (kto 6711) </w:t>
      </w:r>
    </w:p>
    <w:p w14:paraId="53E27667" w14:textId="77777777" w:rsidR="002A6A96" w:rsidRDefault="002A6A96" w:rsidP="002A6A96">
      <w:pPr>
        <w:spacing w:line="276" w:lineRule="auto"/>
        <w:ind w:left="720"/>
      </w:pPr>
      <w:r>
        <w:t xml:space="preserve">          642,10 eura nabava nefinancijske imovine (kto 6712)      </w:t>
      </w:r>
    </w:p>
    <w:p w14:paraId="31E53C17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OŠ Vladimira Vidrića  </w:t>
      </w:r>
    </w:p>
    <w:p w14:paraId="423EFCB2" w14:textId="77777777" w:rsidR="002A6A96" w:rsidRDefault="002A6A96" w:rsidP="002A6A96">
      <w:pPr>
        <w:spacing w:line="276" w:lineRule="auto"/>
        <w:ind w:left="720"/>
      </w:pPr>
      <w:r>
        <w:t xml:space="preserve">     173.122,35 eura rashodi poslovanja (kto 6711)</w:t>
      </w:r>
    </w:p>
    <w:p w14:paraId="0571174D" w14:textId="77777777" w:rsidR="002A6A96" w:rsidRDefault="002A6A96" w:rsidP="002A6A96">
      <w:pPr>
        <w:spacing w:line="276" w:lineRule="auto"/>
        <w:ind w:left="720"/>
      </w:pPr>
      <w:r>
        <w:t xml:space="preserve">         1.170,25 eura nabava nefinancijske imovine (kto 6712)</w:t>
      </w:r>
    </w:p>
    <w:p w14:paraId="5E97A842" w14:textId="77777777" w:rsidR="002A6A96" w:rsidRDefault="002A6A96" w:rsidP="002A6A96">
      <w:pPr>
        <w:numPr>
          <w:ilvl w:val="0"/>
          <w:numId w:val="1"/>
        </w:numPr>
        <w:tabs>
          <w:tab w:val="left" w:pos="505"/>
        </w:tabs>
        <w:spacing w:line="276" w:lineRule="auto"/>
        <w:jc w:val="both"/>
        <w:rPr>
          <w:b/>
        </w:rPr>
      </w:pPr>
      <w:r>
        <w:rPr>
          <w:b/>
        </w:rPr>
        <w:t xml:space="preserve">OŠ Banova Jaruga  </w:t>
      </w:r>
    </w:p>
    <w:p w14:paraId="7B1ECA28" w14:textId="77777777" w:rsidR="002A6A96" w:rsidRDefault="002A6A96" w:rsidP="002A6A96">
      <w:pPr>
        <w:spacing w:line="276" w:lineRule="auto"/>
        <w:ind w:left="720"/>
      </w:pPr>
      <w:r>
        <w:t xml:space="preserve">      90.878,48 eura rashodi poslovanja (kto 6711) </w:t>
      </w:r>
    </w:p>
    <w:p w14:paraId="673E6D18" w14:textId="77777777" w:rsidR="002A6A96" w:rsidRDefault="002A6A96" w:rsidP="002A6A96">
      <w:pPr>
        <w:spacing w:line="276" w:lineRule="auto"/>
        <w:rPr>
          <w:b/>
        </w:rPr>
      </w:pPr>
      <w:r>
        <w:t xml:space="preserve">    </w:t>
      </w:r>
      <w:r>
        <w:rPr>
          <w:b/>
        </w:rPr>
        <w:t>- Športski centar Kutina</w:t>
      </w:r>
    </w:p>
    <w:p w14:paraId="60EC28A1" w14:textId="77777777" w:rsidR="002A6A96" w:rsidRDefault="002A6A96" w:rsidP="002A6A96">
      <w:pPr>
        <w:spacing w:line="276" w:lineRule="auto"/>
        <w:ind w:left="720"/>
      </w:pPr>
      <w:r>
        <w:t xml:space="preserve">   275.632,46 eura rashodi poslovanja (kto 6711)</w:t>
      </w:r>
    </w:p>
    <w:p w14:paraId="5EDF8C71" w14:textId="77777777" w:rsidR="002A6A96" w:rsidRDefault="002A6A96" w:rsidP="002A6A96">
      <w:pPr>
        <w:spacing w:line="276" w:lineRule="auto"/>
        <w:ind w:left="720"/>
      </w:pPr>
      <w:r>
        <w:t xml:space="preserve">       9.814,58 eura  nabava nefinancijske imovine (kto 6712)</w:t>
      </w:r>
    </w:p>
    <w:p w14:paraId="411BB0BB" w14:textId="77777777" w:rsidR="002A6A96" w:rsidRDefault="002A6A96" w:rsidP="002A6A96">
      <w:pPr>
        <w:spacing w:line="276" w:lineRule="auto"/>
        <w:ind w:left="720"/>
      </w:pPr>
      <w:r>
        <w:t xml:space="preserve">     37.623,78 eura financijska imovina i otplate zajmova (kto 6714)</w:t>
      </w:r>
      <w:r>
        <w:rPr>
          <w:b/>
          <w:bCs/>
        </w:rPr>
        <w:t xml:space="preserve"> </w:t>
      </w:r>
    </w:p>
    <w:p w14:paraId="5E57BC11" w14:textId="77777777" w:rsidR="002A6A96" w:rsidRDefault="002A6A96" w:rsidP="002A6A96">
      <w:pPr>
        <w:spacing w:line="276" w:lineRule="auto"/>
        <w:rPr>
          <w:color w:val="FF0000"/>
        </w:rPr>
      </w:pPr>
    </w:p>
    <w:p w14:paraId="66D6B29D" w14:textId="77777777" w:rsidR="002A6A96" w:rsidRDefault="002A6A96" w:rsidP="002A6A96">
      <w:pPr>
        <w:spacing w:line="276" w:lineRule="auto"/>
      </w:pPr>
      <w:r>
        <w:rPr>
          <w:b/>
        </w:rPr>
        <w:t>381 – Tekuće donacije</w:t>
      </w:r>
      <w:r>
        <w:t xml:space="preserve"> – povećanje u odnosu na isto razdoblje 2023. godine,  a odnosi se na sljedeće:</w:t>
      </w:r>
    </w:p>
    <w:p w14:paraId="558F1417" w14:textId="77777777" w:rsidR="002A6A96" w:rsidRDefault="002A6A96" w:rsidP="002A6A96">
      <w:pPr>
        <w:spacing w:line="276" w:lineRule="auto"/>
      </w:pPr>
      <w:r>
        <w:t>-      donacije vjerskim zajednicama 9.857,25 eura</w:t>
      </w:r>
    </w:p>
    <w:p w14:paraId="6D029523" w14:textId="77777777" w:rsidR="002A6A96" w:rsidRDefault="002A6A96" w:rsidP="002A6A96">
      <w:pPr>
        <w:spacing w:line="276" w:lineRule="auto"/>
      </w:pPr>
      <w:r>
        <w:t>-      donacije nacionalnim zajednicama i manjinama 6.890,00 eura</w:t>
      </w:r>
    </w:p>
    <w:p w14:paraId="1720574E" w14:textId="77777777" w:rsidR="002A6A96" w:rsidRDefault="002A6A96" w:rsidP="002A6A96">
      <w:pPr>
        <w:spacing w:line="276" w:lineRule="auto"/>
      </w:pPr>
      <w:r>
        <w:t>-      donacije udrugama građana 4.000,00 eura</w:t>
      </w:r>
    </w:p>
    <w:p w14:paraId="4EC1FAEA" w14:textId="77777777" w:rsidR="002A6A96" w:rsidRDefault="002A6A96" w:rsidP="002A6A96">
      <w:pPr>
        <w:spacing w:line="276" w:lineRule="auto"/>
      </w:pPr>
      <w:r>
        <w:t>-      donacije za poticanje dobrovoljnog vatrogastva 55.098,00 eura</w:t>
      </w:r>
    </w:p>
    <w:p w14:paraId="02C3C9F7" w14:textId="77777777" w:rsidR="002A6A96" w:rsidRDefault="002A6A96" w:rsidP="002A6A96">
      <w:pPr>
        <w:spacing w:line="276" w:lineRule="auto"/>
      </w:pPr>
      <w:r>
        <w:t>-      donacije sportskim društvima 387.279,52 eura</w:t>
      </w:r>
    </w:p>
    <w:p w14:paraId="2C27ABE0" w14:textId="77777777" w:rsidR="002A6A96" w:rsidRDefault="002A6A96" w:rsidP="002A6A96">
      <w:pPr>
        <w:spacing w:line="276" w:lineRule="auto"/>
      </w:pPr>
      <w:r>
        <w:t>-      donacije humanitarnim organizacijama 1.350,00 eura</w:t>
      </w:r>
    </w:p>
    <w:p w14:paraId="08F96B20" w14:textId="77777777" w:rsidR="002A6A96" w:rsidRDefault="002A6A96" w:rsidP="002A6A96">
      <w:pPr>
        <w:spacing w:line="276" w:lineRule="auto"/>
      </w:pPr>
      <w:r>
        <w:t xml:space="preserve">-      poticanje rada Crvenog križa 18.000,00 eura </w:t>
      </w:r>
    </w:p>
    <w:p w14:paraId="638F5E53" w14:textId="77777777" w:rsidR="002A6A96" w:rsidRDefault="002A6A96" w:rsidP="002A6A96">
      <w:pPr>
        <w:spacing w:line="276" w:lineRule="auto"/>
      </w:pPr>
      <w:r>
        <w:t>-      donacije ostalim udrugama 9.153,15 eura</w:t>
      </w:r>
    </w:p>
    <w:p w14:paraId="0E227CBC" w14:textId="77777777" w:rsidR="002A6A96" w:rsidRDefault="002A6A96" w:rsidP="002A6A96">
      <w:pPr>
        <w:spacing w:line="276" w:lineRule="auto"/>
      </w:pPr>
      <w:r>
        <w:t>-      donacije Turističkoj zajednici 256.400,00 eura</w:t>
      </w:r>
    </w:p>
    <w:p w14:paraId="5C17DEF5" w14:textId="77777777" w:rsidR="002A6A96" w:rsidRDefault="002A6A96" w:rsidP="002A6A96">
      <w:pPr>
        <w:spacing w:line="276" w:lineRule="auto"/>
      </w:pPr>
      <w:r>
        <w:t>-      donacije za rad medija 46.925,76 eura</w:t>
      </w:r>
    </w:p>
    <w:p w14:paraId="1AD152B8" w14:textId="77777777" w:rsidR="002A6A96" w:rsidRDefault="002A6A96" w:rsidP="002A6A96">
      <w:pPr>
        <w:spacing w:line="276" w:lineRule="auto"/>
      </w:pPr>
      <w:r>
        <w:t>-      donacije za kulturu i obrazovanje 20.362,32  eura</w:t>
      </w:r>
    </w:p>
    <w:p w14:paraId="6B5F1E07" w14:textId="77777777" w:rsidR="002A6A96" w:rsidRDefault="002A6A96" w:rsidP="002A6A96">
      <w:pPr>
        <w:spacing w:line="276" w:lineRule="auto"/>
      </w:pPr>
      <w:r>
        <w:t>-      ZTK 5.000,00 eura</w:t>
      </w:r>
    </w:p>
    <w:p w14:paraId="3B0FF3CB" w14:textId="77777777" w:rsidR="002A6A96" w:rsidRDefault="002A6A96" w:rsidP="002A6A96">
      <w:pPr>
        <w:spacing w:line="276" w:lineRule="auto"/>
      </w:pPr>
      <w:r>
        <w:t>-      donacije udruga građani treće životne dobi 1.250,00 eura</w:t>
      </w:r>
    </w:p>
    <w:p w14:paraId="6E089952" w14:textId="77777777" w:rsidR="002A6A96" w:rsidRDefault="002A6A96" w:rsidP="002A6A96">
      <w:pPr>
        <w:spacing w:line="276" w:lineRule="auto"/>
      </w:pPr>
      <w:r>
        <w:t>-      donacije udruga osobe s invaliditetom  15.543,46 eura</w:t>
      </w:r>
    </w:p>
    <w:p w14:paraId="5AEED22D" w14:textId="77777777" w:rsidR="002A6A96" w:rsidRDefault="002A6A96" w:rsidP="002A6A96">
      <w:pPr>
        <w:spacing w:line="276" w:lineRule="auto"/>
      </w:pPr>
    </w:p>
    <w:p w14:paraId="1701FE10" w14:textId="77777777" w:rsidR="002A6A96" w:rsidRDefault="002A6A96" w:rsidP="002A6A96">
      <w:pPr>
        <w:spacing w:line="276" w:lineRule="auto"/>
      </w:pPr>
      <w:r>
        <w:rPr>
          <w:b/>
        </w:rPr>
        <w:t>3821 – Kapitalne donacije neprofitnim organizacijama</w:t>
      </w:r>
      <w:r>
        <w:t xml:space="preserve"> – nema usporednog podatka iz 2023. godine, a odnosi se na sredstva dodijeljena Župi Sv.Nikole Biskupa</w:t>
      </w:r>
    </w:p>
    <w:p w14:paraId="427C6D00" w14:textId="77777777" w:rsidR="002A6A96" w:rsidRDefault="002A6A96" w:rsidP="002A6A96">
      <w:pPr>
        <w:spacing w:line="276" w:lineRule="auto"/>
      </w:pPr>
    </w:p>
    <w:p w14:paraId="3A6E73E4" w14:textId="77777777" w:rsidR="002A6A96" w:rsidRDefault="002A6A96" w:rsidP="002A6A96">
      <w:pPr>
        <w:spacing w:line="276" w:lineRule="auto"/>
      </w:pPr>
      <w:r>
        <w:rPr>
          <w:b/>
        </w:rPr>
        <w:t>3831 – Naknade šteta pravnim i fizičkim osobama</w:t>
      </w:r>
      <w:r>
        <w:t xml:space="preserve"> – nema usporednog podatka iz 2023. godine, a trošak je nastao prema Odluci o raspodjeli pomoći za ublažavanje i uklanjanje posljedica prirodnih nepogoda u srpnju 2023. godine</w:t>
      </w:r>
    </w:p>
    <w:p w14:paraId="3A60B1F8" w14:textId="77777777" w:rsidR="002A6A96" w:rsidRDefault="002A6A96" w:rsidP="002A6A96">
      <w:pPr>
        <w:spacing w:line="276" w:lineRule="auto"/>
      </w:pPr>
    </w:p>
    <w:p w14:paraId="2A983D27" w14:textId="77777777" w:rsidR="002A6A96" w:rsidRDefault="002A6A96" w:rsidP="002A6A96">
      <w:pPr>
        <w:spacing w:line="276" w:lineRule="auto"/>
      </w:pPr>
      <w:r>
        <w:rPr>
          <w:b/>
        </w:rPr>
        <w:t>92211 – Višak prihoda poslovanja</w:t>
      </w:r>
      <w:r>
        <w:t xml:space="preserve"> </w:t>
      </w:r>
      <w:r>
        <w:rPr>
          <w:b/>
          <w:bCs/>
        </w:rPr>
        <w:t>– preneseni</w:t>
      </w:r>
      <w:r>
        <w:t>, korigiran je višak prihoda poslovanja – preneseni, tijekom razdoblja od 1-6/2024 izvršeni su povrati i korekcije više isplaćenih sredstava u 2023.  godini u iznosu 30.790,02 eura</w:t>
      </w:r>
    </w:p>
    <w:p w14:paraId="2D6ED4A4" w14:textId="77777777" w:rsidR="002A6A96" w:rsidRDefault="002A6A96" w:rsidP="002A6A96">
      <w:pPr>
        <w:spacing w:line="276" w:lineRule="auto"/>
      </w:pPr>
    </w:p>
    <w:p w14:paraId="0FE05865" w14:textId="77777777" w:rsidR="002A6A96" w:rsidRDefault="002A6A96" w:rsidP="002A6A96">
      <w:pPr>
        <w:spacing w:line="276" w:lineRule="auto"/>
      </w:pPr>
      <w:r>
        <w:rPr>
          <w:b/>
        </w:rPr>
        <w:t>7111 – Zemljište</w:t>
      </w:r>
      <w:r>
        <w:t xml:space="preserve"> – višestruko povećanje u odnosu na isto razdoblje 2023. godine, a odnosi se na prodaju zemljišta</w:t>
      </w:r>
    </w:p>
    <w:p w14:paraId="2CABD2BD" w14:textId="77777777" w:rsidR="002A6A96" w:rsidRDefault="002A6A96" w:rsidP="002A6A96">
      <w:pPr>
        <w:spacing w:line="276" w:lineRule="auto"/>
      </w:pPr>
    </w:p>
    <w:p w14:paraId="56C07167" w14:textId="77777777" w:rsidR="002A6A96" w:rsidRDefault="002A6A96" w:rsidP="002A6A96">
      <w:pPr>
        <w:spacing w:line="276" w:lineRule="auto"/>
      </w:pPr>
      <w:r>
        <w:rPr>
          <w:b/>
        </w:rPr>
        <w:t>7211 – Stambeni objekti</w:t>
      </w:r>
      <w:r>
        <w:t xml:space="preserve"> – značajnije smanjenje u odnosu na isto razdoblje 2023. godine, zbog završetka obročne otplate većine stanova</w:t>
      </w:r>
    </w:p>
    <w:p w14:paraId="2FCB66F8" w14:textId="77777777" w:rsidR="002A6A96" w:rsidRDefault="002A6A96" w:rsidP="002A6A96">
      <w:pPr>
        <w:spacing w:line="276" w:lineRule="auto"/>
      </w:pPr>
    </w:p>
    <w:p w14:paraId="2939F6CF" w14:textId="77777777" w:rsidR="002A6A96" w:rsidRDefault="002A6A96" w:rsidP="002A6A96">
      <w:pPr>
        <w:spacing w:line="276" w:lineRule="auto"/>
      </w:pPr>
      <w:r>
        <w:rPr>
          <w:b/>
        </w:rPr>
        <w:t>4124 – Ostala prava</w:t>
      </w:r>
      <w:r>
        <w:t xml:space="preserve"> – nema usporednog podatka iz 2023. godine, a odnosi se na sufinanciranje Doma za starije i nemoćne   </w:t>
      </w:r>
    </w:p>
    <w:p w14:paraId="2FBE3E50" w14:textId="77777777" w:rsidR="002A6A96" w:rsidRDefault="002A6A96" w:rsidP="002A6A96">
      <w:pPr>
        <w:spacing w:line="276" w:lineRule="auto"/>
      </w:pPr>
    </w:p>
    <w:p w14:paraId="3069581B" w14:textId="77777777" w:rsidR="002A6A96" w:rsidRDefault="002A6A96" w:rsidP="002A6A96">
      <w:pPr>
        <w:spacing w:line="276" w:lineRule="auto"/>
      </w:pPr>
      <w:r>
        <w:rPr>
          <w:b/>
          <w:bCs/>
        </w:rPr>
        <w:t>4212 – Poslovni objekti</w:t>
      </w:r>
      <w:r>
        <w:t xml:space="preserve"> – smanjenje u odnosu na isto razdoblje prethodne godine, a odnosi se na  izgradnju doma u Romskom naselju, izgradnju skladišta za električne autiće u Prijamnom centru Repušnica, te izgradnju višestambene zgrade za privremeno zbrinjavanje</w:t>
      </w:r>
    </w:p>
    <w:p w14:paraId="5465E3DE" w14:textId="77777777" w:rsidR="002A6A96" w:rsidRDefault="002A6A96" w:rsidP="002A6A96">
      <w:pPr>
        <w:spacing w:line="276" w:lineRule="auto"/>
      </w:pPr>
    </w:p>
    <w:p w14:paraId="63E3903E" w14:textId="77777777" w:rsidR="002A6A96" w:rsidRDefault="002A6A96" w:rsidP="002A6A96">
      <w:pPr>
        <w:spacing w:line="276" w:lineRule="auto"/>
      </w:pPr>
      <w:r>
        <w:rPr>
          <w:b/>
        </w:rPr>
        <w:t>4213 – Ceste, željeznice i ostali prometni objekti</w:t>
      </w:r>
      <w:r>
        <w:t xml:space="preserve"> – smanjenje u odnosu na isto razdoblje 2023. godine, a odnosi se na šumske prometnice</w:t>
      </w:r>
    </w:p>
    <w:p w14:paraId="2C217723" w14:textId="77777777" w:rsidR="002A6A96" w:rsidRDefault="002A6A96" w:rsidP="002A6A96">
      <w:pPr>
        <w:spacing w:line="276" w:lineRule="auto"/>
      </w:pPr>
    </w:p>
    <w:p w14:paraId="1AE440AD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4221 – Uredska oprema i namještaj</w:t>
      </w:r>
      <w:r>
        <w:t xml:space="preserve"> – povećanje u odnosu na isto razdoblje 2023. godine, </w:t>
      </w:r>
      <w:r>
        <w:rPr>
          <w:bCs/>
        </w:rPr>
        <w:t>, a odnosi se na troškove vezane za osnovno školstvo – cjelodnevna škola</w:t>
      </w:r>
    </w:p>
    <w:p w14:paraId="4191E0D9" w14:textId="77777777" w:rsidR="002A6A96" w:rsidRDefault="002A6A96" w:rsidP="002A6A96">
      <w:pPr>
        <w:spacing w:line="276" w:lineRule="auto"/>
      </w:pPr>
    </w:p>
    <w:p w14:paraId="146BC0EC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 xml:space="preserve">4223 – Oprema za održavanje i zaštitu – </w:t>
      </w:r>
      <w:r>
        <w:rPr>
          <w:bCs/>
        </w:rPr>
        <w:t>povećanje u odnosu na isto razdoblje 2023. godine, a odnosi se na nabavu opreme za civilnu zaštitu, te troškovi vezani za osnovno školstvo – cjelodnevna škola</w:t>
      </w:r>
    </w:p>
    <w:p w14:paraId="04D4DA48" w14:textId="77777777" w:rsidR="002A6A96" w:rsidRDefault="002A6A96" w:rsidP="002A6A96">
      <w:pPr>
        <w:spacing w:line="276" w:lineRule="auto"/>
      </w:pPr>
    </w:p>
    <w:p w14:paraId="74C6A6A3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4225 – Instrumenti, uređaji i strojevi</w:t>
      </w:r>
      <w:r>
        <w:t xml:space="preserve"> - </w:t>
      </w:r>
      <w:r>
        <w:rPr>
          <w:bCs/>
        </w:rPr>
        <w:t>nema usporednog podatka iz 2023. godine, a odnosi se na nabavu kosilice za održavanje u MO</w:t>
      </w:r>
    </w:p>
    <w:p w14:paraId="03F3BB0C" w14:textId="77777777" w:rsidR="002A6A96" w:rsidRDefault="002A6A96" w:rsidP="002A6A96">
      <w:pPr>
        <w:spacing w:line="276" w:lineRule="auto"/>
        <w:rPr>
          <w:bCs/>
        </w:rPr>
      </w:pPr>
    </w:p>
    <w:p w14:paraId="385B6A57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4226 – Sportska i glazbena oprema</w:t>
      </w:r>
      <w:r>
        <w:rPr>
          <w:bCs/>
        </w:rPr>
        <w:t xml:space="preserve"> – nema usporednog podatka iz 2023. godine, a odnosi se na troškove vezane za osnovno školstvo – cjelodnevna škola</w:t>
      </w:r>
    </w:p>
    <w:p w14:paraId="260B612D" w14:textId="77777777" w:rsidR="002A6A96" w:rsidRDefault="002A6A96" w:rsidP="002A6A96">
      <w:pPr>
        <w:spacing w:line="276" w:lineRule="auto"/>
      </w:pPr>
    </w:p>
    <w:p w14:paraId="1D9BBF76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4227 – Uređaji, strojevi i oprema za ostale namjene</w:t>
      </w:r>
      <w:r>
        <w:t xml:space="preserve"> – povećanje u odnosu na isto razdoblje 2023.g., </w:t>
      </w:r>
      <w:r>
        <w:rPr>
          <w:bCs/>
        </w:rPr>
        <w:t>a odnosi se i na troškove vezane za osnovno školstvo – cjelodnevna škola</w:t>
      </w:r>
    </w:p>
    <w:p w14:paraId="7B0CC99C" w14:textId="77777777" w:rsidR="002A6A96" w:rsidRDefault="002A6A96" w:rsidP="002A6A96">
      <w:pPr>
        <w:spacing w:line="276" w:lineRule="auto"/>
        <w:rPr>
          <w:b/>
          <w:bCs/>
          <w:color w:val="FF0000"/>
        </w:rPr>
      </w:pPr>
    </w:p>
    <w:p w14:paraId="349F6B45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 xml:space="preserve">451 – Dodatna ulaganja na građevinskim objektima – </w:t>
      </w:r>
      <w:r>
        <w:rPr>
          <w:bCs/>
        </w:rPr>
        <w:t>povećanje u odnosu na isto razdoblje 2023. godine, a odnosi se na rekonstrukciju društvenog doma Husain i Repušnica</w:t>
      </w:r>
    </w:p>
    <w:p w14:paraId="62E30ACF" w14:textId="77777777" w:rsidR="002A6A96" w:rsidRDefault="002A6A96" w:rsidP="002A6A96">
      <w:pPr>
        <w:spacing w:line="276" w:lineRule="auto"/>
        <w:rPr>
          <w:bCs/>
        </w:rPr>
      </w:pPr>
    </w:p>
    <w:p w14:paraId="3B2291BF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8121 – Povrat zajmova danim neprofitnim organizacijama, građanima i kućanstvima u tuzemstvu</w:t>
      </w:r>
      <w:r>
        <w:rPr>
          <w:bCs/>
        </w:rPr>
        <w:t xml:space="preserve"> – nema usporednog podatka iz 2023. godine, a odnosi se na plaćen dug po kreditu Agroobrtničke banke</w:t>
      </w:r>
    </w:p>
    <w:p w14:paraId="383E3177" w14:textId="77777777" w:rsidR="002A6A96" w:rsidRDefault="002A6A96" w:rsidP="002A6A96">
      <w:pPr>
        <w:spacing w:line="276" w:lineRule="auto"/>
        <w:rPr>
          <w:bCs/>
        </w:rPr>
      </w:pPr>
    </w:p>
    <w:p w14:paraId="44FC7D58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5422 – Otplata glavnice primljenih kredita od kreditnih institucija u javnom sektoru</w:t>
      </w:r>
      <w:r>
        <w:rPr>
          <w:bCs/>
        </w:rPr>
        <w:t xml:space="preserve"> –   odnosi se na otplatu glavnice – kredit HBOR (energetska obnova zgrade Gradske uprave)</w:t>
      </w:r>
    </w:p>
    <w:p w14:paraId="25616E04" w14:textId="77777777" w:rsidR="002A6A96" w:rsidRDefault="002A6A96" w:rsidP="002A6A96">
      <w:pPr>
        <w:spacing w:line="276" w:lineRule="auto"/>
        <w:rPr>
          <w:bCs/>
        </w:rPr>
      </w:pPr>
    </w:p>
    <w:p w14:paraId="25C64926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>5443 – Otplata glavnice primljenih kredita od tuzemnih kreditnih institucija izvan javnog sektora</w:t>
      </w:r>
      <w:r>
        <w:rPr>
          <w:bCs/>
        </w:rPr>
        <w:t xml:space="preserve"> – odnosi se na izdatke za sljedeće kredite:</w:t>
      </w:r>
    </w:p>
    <w:p w14:paraId="42F10B66" w14:textId="77777777" w:rsidR="002A6A96" w:rsidRDefault="002A6A96" w:rsidP="002A6A96">
      <w:pPr>
        <w:numPr>
          <w:ilvl w:val="0"/>
          <w:numId w:val="2"/>
        </w:numPr>
        <w:tabs>
          <w:tab w:val="left" w:pos="505"/>
        </w:tabs>
        <w:spacing w:line="276" w:lineRule="auto"/>
        <w:jc w:val="both"/>
        <w:rPr>
          <w:bCs/>
        </w:rPr>
      </w:pPr>
      <w:r>
        <w:rPr>
          <w:bCs/>
        </w:rPr>
        <w:lastRenderedPageBreak/>
        <w:t>Kredit PBZ partija 5010756988 (Kutinska Lipa) u iznosu od 16.074,78 eura</w:t>
      </w:r>
    </w:p>
    <w:p w14:paraId="344F24AB" w14:textId="77777777" w:rsidR="002A6A96" w:rsidRDefault="002A6A96" w:rsidP="002A6A96">
      <w:pPr>
        <w:numPr>
          <w:ilvl w:val="0"/>
          <w:numId w:val="2"/>
        </w:numPr>
        <w:tabs>
          <w:tab w:val="left" w:pos="505"/>
        </w:tabs>
        <w:spacing w:line="276" w:lineRule="auto"/>
        <w:jc w:val="both"/>
        <w:rPr>
          <w:bCs/>
        </w:rPr>
      </w:pPr>
      <w:r>
        <w:rPr>
          <w:bCs/>
        </w:rPr>
        <w:t>Kredit PBZ partija 5010756962 (dječji vrtić Banova Jaruga) u iznosu od 41.489,16 eura</w:t>
      </w:r>
    </w:p>
    <w:p w14:paraId="5B3E7B14" w14:textId="77777777" w:rsidR="002A6A96" w:rsidRDefault="002A6A96" w:rsidP="002A6A96">
      <w:pPr>
        <w:numPr>
          <w:ilvl w:val="0"/>
          <w:numId w:val="2"/>
        </w:numPr>
        <w:tabs>
          <w:tab w:val="left" w:pos="505"/>
        </w:tabs>
        <w:spacing w:line="276" w:lineRule="auto"/>
        <w:jc w:val="both"/>
        <w:rPr>
          <w:bCs/>
        </w:rPr>
      </w:pPr>
      <w:r>
        <w:rPr>
          <w:bCs/>
        </w:rPr>
        <w:t>Kredit PBZ partija 5010787637 (dječji vrtić Kutina) u iznosu od 68.571,24 eura</w:t>
      </w:r>
    </w:p>
    <w:p w14:paraId="070488A2" w14:textId="77777777" w:rsidR="002A6A96" w:rsidRDefault="002A6A96" w:rsidP="002A6A96">
      <w:pPr>
        <w:numPr>
          <w:ilvl w:val="0"/>
          <w:numId w:val="2"/>
        </w:numPr>
        <w:tabs>
          <w:tab w:val="left" w:pos="505"/>
        </w:tabs>
        <w:spacing w:line="276" w:lineRule="auto"/>
        <w:jc w:val="both"/>
        <w:rPr>
          <w:bCs/>
        </w:rPr>
      </w:pPr>
      <w:r>
        <w:rPr>
          <w:bCs/>
        </w:rPr>
        <w:t>Kredit PBZ partija 5010804762 (Dalmatinska sjever) u iznosu od 10.552,74 eura</w:t>
      </w:r>
    </w:p>
    <w:p w14:paraId="53FA6493" w14:textId="77777777" w:rsidR="002A6A96" w:rsidRDefault="002A6A96" w:rsidP="002A6A96">
      <w:pPr>
        <w:numPr>
          <w:ilvl w:val="0"/>
          <w:numId w:val="2"/>
        </w:numPr>
        <w:tabs>
          <w:tab w:val="left" w:pos="505"/>
        </w:tabs>
        <w:spacing w:line="276" w:lineRule="auto"/>
        <w:jc w:val="both"/>
        <w:rPr>
          <w:bCs/>
        </w:rPr>
      </w:pPr>
      <w:r>
        <w:rPr>
          <w:bCs/>
        </w:rPr>
        <w:t>Kredit PBZ partija 5010787629 u iznosu od 81.719,88 eura</w:t>
      </w:r>
    </w:p>
    <w:p w14:paraId="47F13E4F" w14:textId="77777777" w:rsidR="002A6A96" w:rsidRDefault="002A6A96" w:rsidP="002A6A96">
      <w:pPr>
        <w:numPr>
          <w:ilvl w:val="0"/>
          <w:numId w:val="2"/>
        </w:numPr>
        <w:tabs>
          <w:tab w:val="left" w:pos="505"/>
        </w:tabs>
        <w:spacing w:line="276" w:lineRule="auto"/>
        <w:jc w:val="both"/>
        <w:rPr>
          <w:bCs/>
        </w:rPr>
      </w:pPr>
      <w:r>
        <w:rPr>
          <w:bCs/>
        </w:rPr>
        <w:t>Kredit PBZ partija 5010826203 (poslovni prostori Trg) u iznosu od 155.949,30 eura</w:t>
      </w:r>
    </w:p>
    <w:p w14:paraId="0CF02D8D" w14:textId="77777777" w:rsidR="002A6A96" w:rsidRDefault="002A6A96" w:rsidP="002A6A96">
      <w:pPr>
        <w:spacing w:line="276" w:lineRule="auto"/>
        <w:rPr>
          <w:bCs/>
        </w:rPr>
      </w:pPr>
      <w:r>
        <w:rPr>
          <w:bCs/>
        </w:rPr>
        <w:t xml:space="preserve">Smanjenje u odnosu na isto razdoblje 2023. godine nastalo je zbog otplaćenog kredita  </w:t>
      </w:r>
    </w:p>
    <w:p w14:paraId="75102D52" w14:textId="77777777" w:rsidR="002A6A96" w:rsidRDefault="002A6A96" w:rsidP="002A6A96">
      <w:pPr>
        <w:spacing w:line="276" w:lineRule="auto"/>
        <w:rPr>
          <w:bCs/>
        </w:rPr>
      </w:pPr>
    </w:p>
    <w:p w14:paraId="08A79E59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 xml:space="preserve">X006 – Višak prihoda i primitaka raspoloživ u sljedećem razdoblju </w:t>
      </w:r>
      <w:r>
        <w:rPr>
          <w:bCs/>
        </w:rPr>
        <w:t>je u iznosu od 609.493,85 eura i sastoji se od:</w:t>
      </w:r>
    </w:p>
    <w:p w14:paraId="2172840A" w14:textId="77777777" w:rsidR="002A6A96" w:rsidRDefault="002A6A96" w:rsidP="002A6A96">
      <w:pPr>
        <w:spacing w:line="276" w:lineRule="auto"/>
        <w:rPr>
          <w:bCs/>
        </w:rPr>
      </w:pPr>
      <w:r>
        <w:rPr>
          <w:bCs/>
        </w:rPr>
        <w:t>92211 – Višak prihoda poslovanja – preneseni u iznosu od 4.998.970,27 eura</w:t>
      </w:r>
    </w:p>
    <w:p w14:paraId="414046F4" w14:textId="77777777" w:rsidR="002A6A96" w:rsidRDefault="002A6A96" w:rsidP="002A6A96">
      <w:pPr>
        <w:spacing w:line="276" w:lineRule="auto"/>
        <w:rPr>
          <w:bCs/>
        </w:rPr>
      </w:pPr>
      <w:r>
        <w:rPr>
          <w:bCs/>
        </w:rPr>
        <w:t>X001 – Višak prihoda poslovanja u iznosu od 985.702,92 eura</w:t>
      </w:r>
    </w:p>
    <w:p w14:paraId="59EED7E1" w14:textId="77777777" w:rsidR="002A6A96" w:rsidRDefault="002A6A96" w:rsidP="002A6A96">
      <w:pPr>
        <w:spacing w:line="276" w:lineRule="auto"/>
        <w:rPr>
          <w:bCs/>
        </w:rPr>
      </w:pPr>
      <w:r>
        <w:rPr>
          <w:bCs/>
        </w:rPr>
        <w:t>92222 – Manjak prihoda od nefinancijske imovine – preneseni u iznosu od 4.546.527,41 eura</w:t>
      </w:r>
    </w:p>
    <w:p w14:paraId="3ADCB964" w14:textId="77777777" w:rsidR="002A6A96" w:rsidRDefault="002A6A96" w:rsidP="002A6A96">
      <w:pPr>
        <w:spacing w:line="276" w:lineRule="auto"/>
        <w:rPr>
          <w:bCs/>
        </w:rPr>
      </w:pPr>
      <w:r>
        <w:rPr>
          <w:bCs/>
        </w:rPr>
        <w:t>Y002 – Manjak prihoda od nefinancijske imovine u iznosu od 718.744,67 eura</w:t>
      </w:r>
    </w:p>
    <w:p w14:paraId="40C10553" w14:textId="77777777" w:rsidR="002A6A96" w:rsidRDefault="002A6A96" w:rsidP="002A6A96">
      <w:pPr>
        <w:spacing w:line="276" w:lineRule="auto"/>
        <w:rPr>
          <w:bCs/>
        </w:rPr>
      </w:pPr>
      <w:r>
        <w:rPr>
          <w:bCs/>
        </w:rPr>
        <w:t>92213 – Višak primitaka od financijske imovine – preneseni u iznosu od 305.796,66 eura</w:t>
      </w:r>
    </w:p>
    <w:p w14:paraId="47F60C61" w14:textId="77777777" w:rsidR="002A6A96" w:rsidRDefault="002A6A96" w:rsidP="002A6A96">
      <w:pPr>
        <w:spacing w:line="276" w:lineRule="auto"/>
        <w:rPr>
          <w:bCs/>
        </w:rPr>
      </w:pPr>
      <w:r>
        <w:rPr>
          <w:bCs/>
        </w:rPr>
        <w:t>Y003 – Manjak primitaka od financijske imovine i zaduživanja u iznosu od 415.703,92 eura</w:t>
      </w:r>
    </w:p>
    <w:p w14:paraId="4545CD2A" w14:textId="77777777" w:rsidR="002A6A96" w:rsidRDefault="002A6A96" w:rsidP="002A6A96">
      <w:pPr>
        <w:spacing w:line="276" w:lineRule="auto"/>
        <w:rPr>
          <w:b/>
        </w:rPr>
      </w:pPr>
    </w:p>
    <w:p w14:paraId="21DC9BA0" w14:textId="77777777" w:rsidR="002A6A96" w:rsidRDefault="002A6A96" w:rsidP="002A6A96">
      <w:pPr>
        <w:spacing w:line="276" w:lineRule="auto"/>
        <w:rPr>
          <w:bCs/>
        </w:rPr>
      </w:pPr>
      <w:r>
        <w:rPr>
          <w:b/>
        </w:rPr>
        <w:t xml:space="preserve">Z006 – Prosječan broj zaposlenih u tijelima na osnovi stanja na početku i na kraju izvještajnog razdoblja – </w:t>
      </w:r>
      <w:r>
        <w:rPr>
          <w:bCs/>
        </w:rPr>
        <w:t xml:space="preserve">smanjenje u odnosu na isto razdoblje 2023.g. zbog odlaska dva djelatnika i jednog primljenog </w:t>
      </w:r>
    </w:p>
    <w:p w14:paraId="274B1B06" w14:textId="77777777" w:rsidR="002A6A96" w:rsidRDefault="002A6A96" w:rsidP="002A6A96">
      <w:pPr>
        <w:spacing w:line="276" w:lineRule="auto"/>
        <w:rPr>
          <w:bCs/>
        </w:rPr>
      </w:pPr>
    </w:p>
    <w:p w14:paraId="07587D1D" w14:textId="77777777" w:rsidR="002A6A96" w:rsidRDefault="002A6A96" w:rsidP="002A6A96">
      <w:pPr>
        <w:spacing w:line="276" w:lineRule="auto"/>
        <w:rPr>
          <w:bCs/>
        </w:rPr>
      </w:pPr>
      <w:r>
        <w:rPr>
          <w:b/>
          <w:bCs/>
        </w:rPr>
        <w:t>Z008 – Prosječan broj zaposlenih u tijelima na osnovi sati rada</w:t>
      </w:r>
      <w:r>
        <w:rPr>
          <w:bCs/>
        </w:rPr>
        <w:t xml:space="preserve"> – smanjenje u odnosu na isto razdoblje 2023. godine zbog povećanog broja bolovanja i porodiljnih dopusta</w:t>
      </w:r>
    </w:p>
    <w:p w14:paraId="68C48365" w14:textId="77777777" w:rsidR="002A6A96" w:rsidRDefault="002A6A96" w:rsidP="002A6A96">
      <w:pPr>
        <w:spacing w:line="276" w:lineRule="auto"/>
        <w:rPr>
          <w:b/>
        </w:rPr>
      </w:pPr>
    </w:p>
    <w:p w14:paraId="55F1ACEE" w14:textId="77777777" w:rsidR="002A6A96" w:rsidRDefault="002A6A96" w:rsidP="002A6A96"/>
    <w:p w14:paraId="33840E3D" w14:textId="77777777" w:rsidR="002A6A96" w:rsidRDefault="002A6A96" w:rsidP="002A6A96"/>
    <w:p w14:paraId="6C230396" w14:textId="77777777" w:rsidR="002A6A96" w:rsidRDefault="002A6A96" w:rsidP="002A6A96"/>
    <w:p w14:paraId="164D91FF" w14:textId="77777777" w:rsidR="002A6A96" w:rsidRDefault="002A6A96" w:rsidP="002A6A96"/>
    <w:p w14:paraId="38E6AAE5" w14:textId="77777777" w:rsidR="002A6A96" w:rsidRDefault="002A6A96" w:rsidP="002A6A96"/>
    <w:p w14:paraId="0436E312" w14:textId="77777777" w:rsidR="002A6A96" w:rsidRDefault="002A6A96" w:rsidP="002A6A96"/>
    <w:p w14:paraId="48B1CEC7" w14:textId="77777777" w:rsidR="002A6A96" w:rsidRDefault="002A6A96" w:rsidP="002A6A96"/>
    <w:p w14:paraId="68568CB2" w14:textId="77777777" w:rsidR="002A6A96" w:rsidRDefault="002A6A96" w:rsidP="002A6A96"/>
    <w:p w14:paraId="5B6071C9" w14:textId="77777777" w:rsidR="002A6A96" w:rsidRDefault="002A6A96" w:rsidP="002A6A96"/>
    <w:p w14:paraId="1DFA2628" w14:textId="77777777" w:rsidR="002A6A96" w:rsidRDefault="002A6A96" w:rsidP="002A6A96"/>
    <w:p w14:paraId="209682DB" w14:textId="77777777" w:rsidR="002A6A96" w:rsidRDefault="002A6A96" w:rsidP="002A6A96"/>
    <w:p w14:paraId="4926D97C" w14:textId="77777777" w:rsidR="002A6A96" w:rsidRDefault="002A6A96" w:rsidP="002A6A96"/>
    <w:p w14:paraId="72724049" w14:textId="77777777" w:rsidR="002A6A96" w:rsidRDefault="002A6A96" w:rsidP="002A6A96"/>
    <w:p w14:paraId="24193359" w14:textId="77777777" w:rsidR="002A6A96" w:rsidRDefault="002A6A96" w:rsidP="002A6A96"/>
    <w:p w14:paraId="75D39680" w14:textId="77777777" w:rsidR="002A6A96" w:rsidRDefault="002A6A96" w:rsidP="002A6A96"/>
    <w:p w14:paraId="51419D0B" w14:textId="77777777" w:rsidR="002A6A96" w:rsidRDefault="002A6A96" w:rsidP="002A6A96"/>
    <w:p w14:paraId="5D32823D" w14:textId="77777777" w:rsidR="002A6A96" w:rsidRDefault="002A6A96" w:rsidP="002A6A96"/>
    <w:p w14:paraId="75BB56CB" w14:textId="77777777" w:rsidR="002A6A96" w:rsidRDefault="002A6A96" w:rsidP="002A6A96"/>
    <w:p w14:paraId="2EFD9485" w14:textId="77777777" w:rsidR="002A6A96" w:rsidRDefault="002A6A96" w:rsidP="002A6A96"/>
    <w:p w14:paraId="51378603" w14:textId="77777777" w:rsidR="002A6A96" w:rsidRDefault="002A6A96" w:rsidP="002A6A96"/>
    <w:p w14:paraId="5A1CF6CE" w14:textId="77777777" w:rsidR="002A6A96" w:rsidRDefault="002A6A96" w:rsidP="002A6A96"/>
    <w:p w14:paraId="2435353F" w14:textId="77777777" w:rsidR="002A6A96" w:rsidRDefault="002A6A96" w:rsidP="002A6A96"/>
    <w:p w14:paraId="284887C2" w14:textId="77777777" w:rsidR="002A6A96" w:rsidRDefault="002A6A96" w:rsidP="002A6A96"/>
    <w:p w14:paraId="018CD71A" w14:textId="77777777" w:rsidR="002A6A96" w:rsidRDefault="002A6A96" w:rsidP="002A6A96"/>
    <w:p w14:paraId="1324A7B6" w14:textId="77777777" w:rsidR="002A6A96" w:rsidRDefault="002A6A96" w:rsidP="002A6A96"/>
    <w:p w14:paraId="0042AB7E" w14:textId="77777777" w:rsidR="002A6A96" w:rsidRDefault="002A6A96" w:rsidP="002A6A96"/>
    <w:p w14:paraId="18B9AC7F" w14:textId="77777777" w:rsidR="002A6A96" w:rsidRDefault="002A6A96" w:rsidP="002A6A96"/>
    <w:p w14:paraId="49353BF9" w14:textId="77777777" w:rsidR="002A6A96" w:rsidRDefault="002A6A96" w:rsidP="002A6A96"/>
    <w:p w14:paraId="1A4A922E" w14:textId="77777777" w:rsidR="002A6A96" w:rsidRDefault="002A6A96" w:rsidP="002A6A96"/>
    <w:p w14:paraId="39D6B691" w14:textId="77777777" w:rsidR="002A6A96" w:rsidRDefault="002A6A96" w:rsidP="002A6A96">
      <w:pPr>
        <w:rPr>
          <w:b/>
        </w:rPr>
      </w:pPr>
    </w:p>
    <w:p w14:paraId="7D26B9EE" w14:textId="77777777" w:rsidR="002A6A96" w:rsidRDefault="002A6A96" w:rsidP="002A6A96">
      <w:pPr>
        <w:ind w:left="434"/>
        <w:rPr>
          <w:b/>
        </w:rPr>
      </w:pPr>
      <w:r>
        <w:rPr>
          <w:b/>
        </w:rPr>
        <w:t>BILJEŠKE UZ OBRAZAC OBVEZE</w:t>
      </w:r>
    </w:p>
    <w:p w14:paraId="51B7D6D2" w14:textId="77777777" w:rsidR="002A6A96" w:rsidRDefault="002A6A96" w:rsidP="002A6A96">
      <w:r>
        <w:t xml:space="preserve"> </w:t>
      </w:r>
    </w:p>
    <w:p w14:paraId="14B91DC5" w14:textId="77777777" w:rsidR="002A6A96" w:rsidRDefault="002A6A96" w:rsidP="002A6A96">
      <w:r>
        <w:t xml:space="preserve"> </w:t>
      </w:r>
    </w:p>
    <w:p w14:paraId="1CB7BC20" w14:textId="77777777" w:rsidR="002A6A96" w:rsidRDefault="002A6A96" w:rsidP="002A6A96">
      <w:r>
        <w:t>Na kraju izvještajnog razdoblja dospjele obveze u iznosu od 117.272,31 eura odnose se na obveze za materijalne rashode i nabavu nefinancijske imovine.  Nedospjele obveze odnose se na obveze za zaposlene – plaća za 06/2024.g., obveze za materijalne rashode, obveze za financijske rashode, obveze za naknade građanima i kućanstvima, ostale tekuće obveze, na međusobne obveze proračunskih korisnika. U nedospjelim obvezama su i obveze za nabavu nefinancijske imovine te obveze za kredite od tuzemnih kreditnih institucija.</w:t>
      </w:r>
    </w:p>
    <w:p w14:paraId="4FB8DBE2" w14:textId="77777777" w:rsidR="002A6A96" w:rsidRDefault="002A6A96" w:rsidP="002A6A96"/>
    <w:p w14:paraId="01D85927" w14:textId="77777777" w:rsidR="002A6A96" w:rsidRDefault="002A6A96" w:rsidP="002A6A96"/>
    <w:p w14:paraId="63E0DDCB" w14:textId="77777777" w:rsidR="002A6A96" w:rsidRDefault="002A6A96" w:rsidP="002A6A96"/>
    <w:p w14:paraId="44A9B088" w14:textId="77777777" w:rsidR="002A6A96" w:rsidRDefault="002A6A96" w:rsidP="002A6A96">
      <w:pPr>
        <w:numPr>
          <w:ilvl w:val="0"/>
          <w:numId w:val="3"/>
        </w:numPr>
        <w:tabs>
          <w:tab w:val="left" w:pos="505"/>
        </w:tabs>
        <w:jc w:val="both"/>
      </w:pPr>
      <w:r>
        <w:t xml:space="preserve">Dospjele obveze 117.272,31eura </w:t>
      </w:r>
    </w:p>
    <w:p w14:paraId="3CE61E95" w14:textId="77777777" w:rsidR="002A6A96" w:rsidRDefault="002A6A96" w:rsidP="002A6A96">
      <w:r>
        <w:t xml:space="preserve"> </w:t>
      </w:r>
    </w:p>
    <w:p w14:paraId="6330176A" w14:textId="77777777" w:rsidR="002A6A96" w:rsidRDefault="002A6A96" w:rsidP="002A6A96">
      <w:r>
        <w:t>23234 – Komunalne usluge</w:t>
      </w:r>
    </w:p>
    <w:p w14:paraId="46FF1CD1" w14:textId="77777777" w:rsidR="002A6A96" w:rsidRDefault="002A6A96" w:rsidP="002A6A96">
      <w:r>
        <w:t xml:space="preserve">               95,50 eura – dospijeće 27.06.2024.</w:t>
      </w:r>
    </w:p>
    <w:p w14:paraId="44015990" w14:textId="77777777" w:rsidR="002A6A96" w:rsidRDefault="002A6A96" w:rsidP="002A6A96">
      <w:r>
        <w:t>23235 – Zakupnine i najamnine</w:t>
      </w:r>
    </w:p>
    <w:p w14:paraId="02D5C8C6" w14:textId="77777777" w:rsidR="002A6A96" w:rsidRDefault="002A6A96" w:rsidP="002A6A96">
      <w:r>
        <w:t xml:space="preserve">               3.060,00 eura – dospijeće 17.05.2024.</w:t>
      </w:r>
    </w:p>
    <w:p w14:paraId="5E841724" w14:textId="77777777" w:rsidR="002A6A96" w:rsidRDefault="002A6A96" w:rsidP="002A6A96">
      <w:r>
        <w:t xml:space="preserve">                  420,00 eura – dospijeće 20.06.2024.</w:t>
      </w:r>
    </w:p>
    <w:p w14:paraId="0C78974D" w14:textId="77777777" w:rsidR="002A6A96" w:rsidRDefault="002A6A96" w:rsidP="002A6A96">
      <w:r>
        <w:t>23239 – Ostale usluge</w:t>
      </w:r>
    </w:p>
    <w:p w14:paraId="09511993" w14:textId="77777777" w:rsidR="002A6A96" w:rsidRDefault="002A6A96" w:rsidP="002A6A96">
      <w:r>
        <w:t xml:space="preserve">               75,00 eura – dospijeće 07.06.2024.</w:t>
      </w:r>
    </w:p>
    <w:p w14:paraId="074EE383" w14:textId="77777777" w:rsidR="002A6A96" w:rsidRDefault="002A6A96" w:rsidP="002A6A96">
      <w:r>
        <w:t>23293 – Reprezentacija</w:t>
      </w:r>
    </w:p>
    <w:p w14:paraId="787ADA86" w14:textId="77777777" w:rsidR="002A6A96" w:rsidRDefault="002A6A96" w:rsidP="002A6A96">
      <w:r>
        <w:t xml:space="preserve">              390,90 eura – dospijeće 27.06.2024.</w:t>
      </w:r>
    </w:p>
    <w:p w14:paraId="1C1E40E4" w14:textId="77777777" w:rsidR="002A6A96" w:rsidRDefault="002A6A96" w:rsidP="002A6A96">
      <w:r>
        <w:t xml:space="preserve">              402,10 eura – dospijeće 28.06.2024.</w:t>
      </w:r>
    </w:p>
    <w:p w14:paraId="4FAC2832" w14:textId="77777777" w:rsidR="002A6A96" w:rsidRDefault="002A6A96" w:rsidP="002A6A96">
      <w:r>
        <w:t xml:space="preserve">              799,18 eura – dospijeće 30.06.2024.</w:t>
      </w:r>
    </w:p>
    <w:p w14:paraId="1A8ED6F0" w14:textId="77777777" w:rsidR="002A6A96" w:rsidRDefault="002A6A96" w:rsidP="002A6A96">
      <w:r>
        <w:t xml:space="preserve">              322,00 eura – dospijeće 19.06.2024.</w:t>
      </w:r>
    </w:p>
    <w:p w14:paraId="74D887AE" w14:textId="77777777" w:rsidR="002A6A96" w:rsidRDefault="002A6A96" w:rsidP="002A6A96">
      <w:r>
        <w:t>24221 – Uredska oprema i namještaj</w:t>
      </w:r>
    </w:p>
    <w:p w14:paraId="31DA1DE4" w14:textId="77777777" w:rsidR="002A6A96" w:rsidRDefault="002A6A96" w:rsidP="002A6A96">
      <w:r>
        <w:t xml:space="preserve">              10.666,25 eura – dospijeće 26.06.2024.</w:t>
      </w:r>
    </w:p>
    <w:p w14:paraId="17B97B16" w14:textId="77777777" w:rsidR="002A6A96" w:rsidRDefault="002A6A96" w:rsidP="002A6A96">
      <w:r>
        <w:t xml:space="preserve">                3.486,50 eura – dospijeće 19.06.2024.</w:t>
      </w:r>
    </w:p>
    <w:p w14:paraId="41B3CADE" w14:textId="77777777" w:rsidR="002A6A96" w:rsidRDefault="002A6A96" w:rsidP="002A6A96">
      <w:r>
        <w:t xml:space="preserve">                7.593,75 eura – dospijeće 19.06.2024.</w:t>
      </w:r>
    </w:p>
    <w:p w14:paraId="297A7241" w14:textId="77777777" w:rsidR="002A6A96" w:rsidRDefault="002A6A96" w:rsidP="002A6A96">
      <w:r>
        <w:t xml:space="preserve">                8.056,00 eura – dospijeće 22.06.2024.</w:t>
      </w:r>
    </w:p>
    <w:p w14:paraId="597DE5A7" w14:textId="77777777" w:rsidR="002A6A96" w:rsidRDefault="002A6A96" w:rsidP="002A6A96">
      <w:r>
        <w:t xml:space="preserve">              57.485,00 eura – dospijeće 02.06.2024.</w:t>
      </w:r>
    </w:p>
    <w:p w14:paraId="4DE020CB" w14:textId="77777777" w:rsidR="002A6A96" w:rsidRDefault="002A6A96" w:rsidP="002A6A96">
      <w:r>
        <w:t>24227 – Uređaji, strojevi i oprema za ostale namjene</w:t>
      </w:r>
    </w:p>
    <w:p w14:paraId="2A56DF84" w14:textId="77777777" w:rsidR="002A6A96" w:rsidRDefault="002A6A96" w:rsidP="002A6A96">
      <w:r>
        <w:t xml:space="preserve">              12.181,25 eura – dospijeće 08.05.2024.</w:t>
      </w:r>
    </w:p>
    <w:p w14:paraId="61C9A7A3" w14:textId="77777777" w:rsidR="002A6A96" w:rsidRDefault="002A6A96" w:rsidP="002A6A96">
      <w:r>
        <w:t xml:space="preserve">              11.382.63 eura – dospijeće 15.06.2024.</w:t>
      </w:r>
    </w:p>
    <w:p w14:paraId="10310C82" w14:textId="77777777" w:rsidR="002A6A96" w:rsidRDefault="002A6A96" w:rsidP="002A6A96">
      <w:r>
        <w:t xml:space="preserve">                   856,25 eura – dospijeće 19.06.2024.   </w:t>
      </w:r>
    </w:p>
    <w:p w14:paraId="44B9871B" w14:textId="77777777" w:rsidR="002A6A96" w:rsidRDefault="002A6A96" w:rsidP="002A6A96">
      <w:r>
        <w:t xml:space="preserve"> </w:t>
      </w:r>
    </w:p>
    <w:p w14:paraId="1C80F346" w14:textId="77777777" w:rsidR="002A6A96" w:rsidRDefault="002A6A96" w:rsidP="002A6A96"/>
    <w:p w14:paraId="1A017D74" w14:textId="77777777" w:rsidR="002A6A96" w:rsidRDefault="002A6A96" w:rsidP="002A6A96"/>
    <w:p w14:paraId="46368762" w14:textId="77777777" w:rsidR="002A6A96" w:rsidRDefault="002A6A96" w:rsidP="002A6A96">
      <w:pPr>
        <w:numPr>
          <w:ilvl w:val="0"/>
          <w:numId w:val="3"/>
        </w:numPr>
        <w:tabs>
          <w:tab w:val="left" w:pos="505"/>
        </w:tabs>
        <w:jc w:val="both"/>
      </w:pPr>
      <w:r>
        <w:t>Nedospjele obveze 7.099.439,45 eura</w:t>
      </w:r>
    </w:p>
    <w:p w14:paraId="34F495F1" w14:textId="77777777" w:rsidR="002A6A96" w:rsidRDefault="002A6A96" w:rsidP="002A6A96">
      <w:r>
        <w:t>231 – Obveze za zaposlene      141.414,56 eura</w:t>
      </w:r>
    </w:p>
    <w:p w14:paraId="26290223" w14:textId="77777777" w:rsidR="002A6A96" w:rsidRDefault="002A6A96" w:rsidP="002A6A96">
      <w:r>
        <w:t>232 -  Obveze za materijalne rashode  168.211,46 eura</w:t>
      </w:r>
    </w:p>
    <w:p w14:paraId="0E43CC6A" w14:textId="77777777" w:rsidR="002A6A96" w:rsidRDefault="002A6A96" w:rsidP="002A6A96">
      <w:r>
        <w:t xml:space="preserve">234 -  Obveze za financijske rashode   7.426,75 eura                                                   </w:t>
      </w:r>
    </w:p>
    <w:p w14:paraId="5A05ADDC" w14:textId="77777777" w:rsidR="002A6A96" w:rsidRDefault="002A6A96" w:rsidP="002A6A96">
      <w:r>
        <w:t xml:space="preserve">237-   Obveze za naknade građanima i kućanstvima  866,46 eura            </w:t>
      </w:r>
    </w:p>
    <w:p w14:paraId="26EBC955" w14:textId="77777777" w:rsidR="002A6A96" w:rsidRDefault="002A6A96" w:rsidP="002A6A96">
      <w:r>
        <w:t>239 – Ostale tekuće obveze  356.821,43 eura</w:t>
      </w:r>
    </w:p>
    <w:p w14:paraId="3E9797BF" w14:textId="77777777" w:rsidR="002A6A96" w:rsidRDefault="002A6A96" w:rsidP="002A6A96">
      <w:r>
        <w:t>24 –   Obveze za nabavu nefinancijske imovine  71.941,19 eura</w:t>
      </w:r>
    </w:p>
    <w:p w14:paraId="58A55A5E" w14:textId="77777777" w:rsidR="002A6A96" w:rsidRDefault="002A6A96" w:rsidP="002A6A96">
      <w:r>
        <w:t xml:space="preserve">26 –   Obveze za kredite i zajmove od kreditnih i ostalih financijskih institucija    </w:t>
      </w:r>
    </w:p>
    <w:p w14:paraId="5A88BC23" w14:textId="77777777" w:rsidR="002A6A96" w:rsidRDefault="002A6A96" w:rsidP="002A6A96">
      <w:r>
        <w:t xml:space="preserve">          262 – Obveze za kredite od kreditnih institucija u javnom sektoru  179.721,32 eura</w:t>
      </w:r>
    </w:p>
    <w:p w14:paraId="4AA66B72" w14:textId="77777777" w:rsidR="002A6A96" w:rsidRDefault="002A6A96" w:rsidP="002A6A96">
      <w:r>
        <w:t xml:space="preserve">          264 – Obveze za kredite i zajmove od kreditnih i ostalih financijskih institucija izvan javnog sektora   5.472.908,32 eura</w:t>
      </w:r>
    </w:p>
    <w:p w14:paraId="6D74E15B" w14:textId="5DCB30EF" w:rsidR="002A6A96" w:rsidRDefault="002A6A96" w:rsidP="002A6A96"/>
    <w:p w14:paraId="57213111" w14:textId="2F6436C3" w:rsidR="002A6A96" w:rsidRDefault="002A6A96" w:rsidP="002A6A96"/>
    <w:p w14:paraId="3295ABA9" w14:textId="77777777" w:rsidR="002A6A96" w:rsidRDefault="002A6A96" w:rsidP="002A6A96">
      <w:bookmarkStart w:id="2" w:name="_GoBack"/>
      <w:bookmarkEnd w:id="2"/>
    </w:p>
    <w:p w14:paraId="37F6644F" w14:textId="77777777" w:rsidR="002A6A96" w:rsidRDefault="002A6A96" w:rsidP="002A6A96">
      <w:r>
        <w:lastRenderedPageBreak/>
        <w:t>Međusobne obveze proračunskih korisnika = 698.927,29 eura (PK)+ 522,67 eura (55% od otkupa stanova) + 678,00 eura (bolovanje)  = 700.127,96 eura</w:t>
      </w:r>
    </w:p>
    <w:p w14:paraId="0272F51B" w14:textId="77777777" w:rsidR="002A6A96" w:rsidRDefault="002A6A96" w:rsidP="002A6A96"/>
    <w:p w14:paraId="0F31CE73" w14:textId="77777777" w:rsidR="002A6A96" w:rsidRDefault="002A6A96" w:rsidP="002A6A96">
      <w:pPr>
        <w:widowControl w:val="0"/>
        <w:tabs>
          <w:tab w:val="left" w:pos="720"/>
        </w:tabs>
        <w:rPr>
          <w:b/>
        </w:rPr>
      </w:pPr>
      <w:r>
        <w:rPr>
          <w:color w:val="FF0000"/>
        </w:rPr>
        <w:t xml:space="preserve"> </w:t>
      </w:r>
    </w:p>
    <w:p w14:paraId="04C9C9C1" w14:textId="77777777" w:rsidR="002A6A96" w:rsidRDefault="002A6A96" w:rsidP="002A6A96">
      <w:pPr>
        <w:widowControl w:val="0"/>
        <w:tabs>
          <w:tab w:val="left" w:pos="720"/>
        </w:tabs>
      </w:pPr>
      <w:r>
        <w:t>Bilješke sastavila,</w:t>
      </w:r>
    </w:p>
    <w:p w14:paraId="4C4DAF87" w14:textId="77777777" w:rsidR="002A6A96" w:rsidRDefault="002A6A96" w:rsidP="002A6A96">
      <w:pPr>
        <w:widowControl w:val="0"/>
        <w:tabs>
          <w:tab w:val="left" w:pos="720"/>
        </w:tabs>
      </w:pPr>
      <w:r>
        <w:t>Karmela Lorger Badanjak</w:t>
      </w:r>
    </w:p>
    <w:p w14:paraId="5B53B3A5" w14:textId="77777777" w:rsidR="002A6A96" w:rsidRDefault="002A6A96" w:rsidP="002A6A96">
      <w:pPr>
        <w:widowControl w:val="0"/>
        <w:tabs>
          <w:tab w:val="left" w:pos="5115"/>
        </w:tabs>
      </w:pPr>
      <w:r>
        <w:tab/>
        <w:t xml:space="preserve">          Gradonačelnik</w:t>
      </w:r>
    </w:p>
    <w:p w14:paraId="351FA678" w14:textId="77777777" w:rsidR="002A6A96" w:rsidRDefault="002A6A96" w:rsidP="002A6A96">
      <w:pPr>
        <w:widowControl w:val="0"/>
        <w:tabs>
          <w:tab w:val="left" w:pos="5784"/>
        </w:tabs>
      </w:pPr>
      <w:r>
        <w:tab/>
        <w:t>Zlatko Babić, dipl.ing.</w:t>
      </w:r>
    </w:p>
    <w:p w14:paraId="1A422828" w14:textId="77777777" w:rsidR="002A6A96" w:rsidRDefault="002A6A96" w:rsidP="002A6A96">
      <w:pPr>
        <w:widowControl w:val="0"/>
        <w:tabs>
          <w:tab w:val="left" w:pos="5550"/>
        </w:tabs>
        <w:rPr>
          <w:bCs/>
        </w:rPr>
      </w:pPr>
      <w:r>
        <w:rPr>
          <w:b/>
        </w:rPr>
        <w:tab/>
      </w:r>
      <w:r>
        <w:rPr>
          <w:bCs/>
        </w:rPr>
        <w:t xml:space="preserve">   </w:t>
      </w:r>
    </w:p>
    <w:p w14:paraId="770B42D8" w14:textId="77777777" w:rsidR="002A6A96" w:rsidRDefault="002A6A96" w:rsidP="002A6A96"/>
    <w:p w14:paraId="06106124" w14:textId="77777777" w:rsidR="002A6A96" w:rsidRDefault="002A6A96" w:rsidP="002A6A96">
      <w:pPr>
        <w:spacing w:line="276" w:lineRule="auto"/>
      </w:pPr>
    </w:p>
    <w:p w14:paraId="3D6B618B" w14:textId="77777777" w:rsidR="002A6A96" w:rsidRDefault="002A6A96" w:rsidP="002A6A96">
      <w:pPr>
        <w:spacing w:line="276" w:lineRule="auto"/>
      </w:pPr>
      <w:r>
        <w:rPr>
          <w:b/>
        </w:rPr>
        <w:t xml:space="preserve"> </w:t>
      </w:r>
    </w:p>
    <w:p w14:paraId="5B89E590" w14:textId="77777777" w:rsidR="002A6A96" w:rsidRDefault="002A6A96" w:rsidP="002A6A96">
      <w:pPr>
        <w:spacing w:line="276" w:lineRule="auto"/>
      </w:pPr>
      <w:r>
        <w:rPr>
          <w:b/>
        </w:rPr>
        <w:t xml:space="preserve"> </w:t>
      </w:r>
    </w:p>
    <w:p w14:paraId="5438BDDF" w14:textId="77777777" w:rsidR="002A6A96" w:rsidRDefault="002A6A96" w:rsidP="002A6A96">
      <w:pPr>
        <w:spacing w:line="276" w:lineRule="auto"/>
      </w:pPr>
      <w:r>
        <w:rPr>
          <w:b/>
        </w:rPr>
        <w:t xml:space="preserve"> </w:t>
      </w:r>
    </w:p>
    <w:p w14:paraId="1FD8F7D2" w14:textId="77777777" w:rsidR="002A6A96" w:rsidRDefault="002A6A96" w:rsidP="002A6A96">
      <w:r>
        <w:rPr>
          <w:b/>
        </w:rPr>
        <w:t xml:space="preserve"> </w:t>
      </w:r>
    </w:p>
    <w:p w14:paraId="61A7E4AA" w14:textId="77777777" w:rsidR="002A6A96" w:rsidRDefault="002A6A96" w:rsidP="002A6A96"/>
    <w:p w14:paraId="00FC4280" w14:textId="77777777" w:rsidR="002A6A96" w:rsidRDefault="002A6A96" w:rsidP="002A6A96">
      <w:r>
        <w:t xml:space="preserve"> </w:t>
      </w:r>
    </w:p>
    <w:p w14:paraId="688FDBD3" w14:textId="77777777" w:rsidR="002A6A96" w:rsidRDefault="002A6A96" w:rsidP="002A6A96">
      <w:pPr>
        <w:widowControl w:val="0"/>
        <w:tabs>
          <w:tab w:val="left" w:pos="720"/>
        </w:tabs>
        <w:rPr>
          <w:b/>
        </w:rPr>
      </w:pPr>
      <w:r>
        <w:rPr>
          <w:color w:val="FF0000"/>
        </w:rPr>
        <w:t xml:space="preserve"> </w:t>
      </w:r>
    </w:p>
    <w:p w14:paraId="71F117C0" w14:textId="77777777" w:rsidR="002A6A96" w:rsidRDefault="002A6A96" w:rsidP="002A6A96">
      <w:pPr>
        <w:widowControl w:val="0"/>
        <w:tabs>
          <w:tab w:val="left" w:pos="720"/>
        </w:tabs>
        <w:rPr>
          <w:b/>
        </w:rPr>
      </w:pPr>
    </w:p>
    <w:p w14:paraId="49290DD8" w14:textId="77777777" w:rsidR="002A6A96" w:rsidRDefault="002A6A96" w:rsidP="002A6A96">
      <w:pPr>
        <w:widowControl w:val="0"/>
        <w:tabs>
          <w:tab w:val="left" w:pos="720"/>
        </w:tabs>
        <w:rPr>
          <w:b/>
        </w:rPr>
      </w:pPr>
    </w:p>
    <w:p w14:paraId="4705034A" w14:textId="77777777" w:rsidR="002A6A96" w:rsidRDefault="002A6A96" w:rsidP="002A6A96">
      <w:pPr>
        <w:widowControl w:val="0"/>
        <w:tabs>
          <w:tab w:val="left" w:pos="720"/>
        </w:tabs>
        <w:rPr>
          <w:b/>
        </w:rPr>
      </w:pPr>
    </w:p>
    <w:p w14:paraId="265C1656" w14:textId="77777777" w:rsidR="002A6A96" w:rsidRDefault="002A6A96" w:rsidP="002A6A96">
      <w:pPr>
        <w:widowControl w:val="0"/>
        <w:tabs>
          <w:tab w:val="left" w:pos="720"/>
        </w:tabs>
      </w:pPr>
    </w:p>
    <w:p w14:paraId="35D19CA9" w14:textId="77777777" w:rsidR="002A6A96" w:rsidRDefault="002A6A96" w:rsidP="002A6A96"/>
    <w:p w14:paraId="4573DACF" w14:textId="77777777" w:rsidR="002A6A96" w:rsidRDefault="002A6A96" w:rsidP="002A6A96">
      <w:pPr>
        <w:rPr>
          <w:b/>
        </w:rPr>
      </w:pPr>
      <w:r>
        <w:rPr>
          <w:b/>
        </w:rPr>
        <w:t xml:space="preserve"> </w:t>
      </w:r>
    </w:p>
    <w:p w14:paraId="089E01C2" w14:textId="77777777" w:rsidR="002A6A96" w:rsidRDefault="002A6A96" w:rsidP="002A6A96">
      <w:pPr>
        <w:rPr>
          <w:b/>
        </w:rPr>
      </w:pPr>
    </w:p>
    <w:p w14:paraId="30B618B0" w14:textId="77777777" w:rsidR="002A6A96" w:rsidRDefault="002A6A96" w:rsidP="002A6A96">
      <w:r>
        <w:t xml:space="preserve"> </w:t>
      </w:r>
    </w:p>
    <w:p w14:paraId="54DDEE07" w14:textId="77777777" w:rsidR="002A6A96" w:rsidRDefault="002A6A96" w:rsidP="002A6A96">
      <w:r>
        <w:t xml:space="preserve"> </w:t>
      </w:r>
    </w:p>
    <w:p w14:paraId="51AE9230" w14:textId="77777777" w:rsidR="00D707B3" w:rsidRPr="00382971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12B1534" w14:textId="77777777" w:rsidR="00D707B3" w:rsidRPr="00382971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CD93698" w14:textId="6139AC8D" w:rsidR="00D707B3" w:rsidRPr="00382971" w:rsidRDefault="00693AB1" w:rsidP="00D707B3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141042BB" w14:textId="4397981A" w:rsidR="00D707B3" w:rsidRPr="00382971" w:rsidRDefault="00D707B3" w:rsidP="00D707B3">
      <w:pPr>
        <w:jc w:val="right"/>
        <w:rPr>
          <w:rFonts w:ascii="Times New Roman" w:hAnsi="Times New Roman" w:cs="Times New Roman"/>
        </w:rPr>
      </w:pPr>
    </w:p>
    <w:p w14:paraId="29B2EC7F" w14:textId="77777777" w:rsidR="008C5FE5" w:rsidRPr="00382971" w:rsidRDefault="008C5FE5" w:rsidP="00D707B3">
      <w:pPr>
        <w:jc w:val="right"/>
        <w:rPr>
          <w:rFonts w:ascii="Times New Roman" w:hAnsi="Times New Roman" w:cs="Times New Roman"/>
        </w:rPr>
      </w:pPr>
    </w:p>
    <w:p w14:paraId="4EDCCDC9" w14:textId="77777777" w:rsidR="00D707B3" w:rsidRPr="00382971" w:rsidRDefault="00D707B3" w:rsidP="00D707B3">
      <w:pPr>
        <w:jc w:val="right"/>
        <w:rPr>
          <w:rFonts w:ascii="Times New Roman" w:hAnsi="Times New Roman" w:cs="Times New Roman"/>
        </w:rPr>
      </w:pPr>
    </w:p>
    <w:p w14:paraId="07CF674C" w14:textId="77777777" w:rsidR="00D707B3" w:rsidRPr="00382971" w:rsidRDefault="00D707B3" w:rsidP="00D707B3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382971">
        <w:rPr>
          <w:rFonts w:ascii="Times New Roman" w:hAnsi="Times New Roman" w:cs="Times New Roman"/>
        </w:rPr>
        <w:t xml:space="preserve">Predmet: </w:t>
      </w:r>
      <w:r w:rsidRPr="00382971">
        <w:rPr>
          <w:rFonts w:ascii="Times New Roman" w:eastAsia="Times New Roman" w:hAnsi="Times New Roman" w:cs="Times New Roman"/>
          <w:color w:val="000000"/>
          <w:lang w:eastAsia="hr-HR"/>
        </w:rPr>
        <w:t>Bilješke uz Financijski izvještaj 06-2024</w:t>
      </w:r>
    </w:p>
    <w:p w14:paraId="3ABA88D4" w14:textId="77777777" w:rsidR="00D707B3" w:rsidRPr="00382971" w:rsidRDefault="00D707B3" w:rsidP="00D707B3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1200C07" w14:textId="77777777" w:rsidR="00D707B3" w:rsidRPr="00382971" w:rsidRDefault="00D707B3" w:rsidP="00D707B3">
      <w:pPr>
        <w:rPr>
          <w:rFonts w:ascii="Times New Roman" w:hAnsi="Times New Roman" w:cs="Times New Roman"/>
        </w:rPr>
      </w:pPr>
    </w:p>
    <w:p w14:paraId="657A284E" w14:textId="77777777" w:rsidR="00D707B3" w:rsidRPr="00382971" w:rsidRDefault="00D707B3" w:rsidP="00D707B3">
      <w:pPr>
        <w:rPr>
          <w:rFonts w:ascii="Times New Roman" w:hAnsi="Times New Roman" w:cs="Times New Roman"/>
        </w:rPr>
      </w:pPr>
    </w:p>
    <w:p w14:paraId="1A692848" w14:textId="4124CC35" w:rsidR="00D707B3" w:rsidRPr="00382971" w:rsidRDefault="00D707B3" w:rsidP="00D707B3">
      <w:pPr>
        <w:rPr>
          <w:rFonts w:ascii="Times New Roman" w:hAnsi="Times New Roman" w:cs="Times New Roman"/>
        </w:rPr>
      </w:pPr>
    </w:p>
    <w:p w14:paraId="3BBAD26A" w14:textId="44EDBF92" w:rsidR="00D707B3" w:rsidRPr="00382971" w:rsidRDefault="00D707B3" w:rsidP="00D707B3">
      <w:pPr>
        <w:rPr>
          <w:rFonts w:ascii="Times New Roman" w:hAnsi="Times New Roman" w:cs="Times New Roman"/>
        </w:rPr>
      </w:pPr>
    </w:p>
    <w:p w14:paraId="6FDB1A94" w14:textId="77777777" w:rsidR="008C5FE5" w:rsidRPr="00382971" w:rsidRDefault="008C5FE5" w:rsidP="00D707B3">
      <w:pPr>
        <w:rPr>
          <w:rFonts w:ascii="Times New Roman" w:hAnsi="Times New Roman" w:cs="Times New Roman"/>
        </w:rPr>
      </w:pPr>
    </w:p>
    <w:p w14:paraId="372E8CE5" w14:textId="0FE0071C" w:rsidR="00D707B3" w:rsidRPr="00382971" w:rsidRDefault="00D707B3" w:rsidP="00D707B3">
      <w:pPr>
        <w:rPr>
          <w:rFonts w:ascii="Times New Roman" w:hAnsi="Times New Roman" w:cs="Times New Roman"/>
        </w:rPr>
      </w:pPr>
    </w:p>
    <w:p w14:paraId="207D6F73" w14:textId="0729640D" w:rsidR="00D707B3" w:rsidRPr="00382971" w:rsidRDefault="00D707B3" w:rsidP="00D707B3">
      <w:pPr>
        <w:rPr>
          <w:rFonts w:ascii="Times New Roman" w:hAnsi="Times New Roman" w:cs="Times New Roman"/>
        </w:rPr>
      </w:pPr>
    </w:p>
    <w:p w14:paraId="59EFEEF5" w14:textId="64AF1B99" w:rsidR="00D707B3" w:rsidRPr="00382971" w:rsidRDefault="00D707B3" w:rsidP="00D707B3">
      <w:pPr>
        <w:rPr>
          <w:rFonts w:ascii="Times New Roman" w:hAnsi="Times New Roman" w:cs="Times New Roman"/>
        </w:rPr>
      </w:pPr>
    </w:p>
    <w:p w14:paraId="2CC29A52" w14:textId="77777777" w:rsidR="00D707B3" w:rsidRPr="00382971" w:rsidRDefault="00D707B3" w:rsidP="00D707B3">
      <w:pPr>
        <w:rPr>
          <w:rFonts w:ascii="Times New Roman" w:hAnsi="Times New Roman" w:cs="Times New Roman"/>
        </w:rPr>
      </w:pPr>
    </w:p>
    <w:p w14:paraId="4F3B13DE" w14:textId="77777777" w:rsidR="00D707B3" w:rsidRPr="00382971" w:rsidRDefault="00D707B3" w:rsidP="00D707B3">
      <w:pPr>
        <w:rPr>
          <w:rFonts w:ascii="Times New Roman" w:hAnsi="Times New Roman" w:cs="Times New Roman"/>
        </w:rPr>
      </w:pPr>
    </w:p>
    <w:p w14:paraId="287610F4" w14:textId="6C3B95C6" w:rsidR="00D707B3" w:rsidRPr="00382971" w:rsidRDefault="008C5FE5" w:rsidP="00D707B3">
      <w:pPr>
        <w:jc w:val="right"/>
        <w:rPr>
          <w:rFonts w:ascii="Times New Roman" w:hAnsi="Times New Roman" w:cs="Times New Roman"/>
        </w:rPr>
      </w:pPr>
      <w:r w:rsidRPr="00382971">
        <w:rPr>
          <w:rFonts w:ascii="Times New Roman" w:hAnsi="Times New Roman" w:cs="Times New Roman"/>
        </w:rPr>
        <w:t>Potpis</w:t>
      </w:r>
    </w:p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C8E2604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1E68"/>
    <w:multiLevelType w:val="hybridMultilevel"/>
    <w:tmpl w:val="182A7EE2"/>
    <w:lvl w:ilvl="0" w:tplc="751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12CB2"/>
    <w:multiLevelType w:val="hybridMultilevel"/>
    <w:tmpl w:val="263AF41C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A6A96"/>
    <w:rsid w:val="00382971"/>
    <w:rsid w:val="00684AB1"/>
    <w:rsid w:val="00693AB1"/>
    <w:rsid w:val="007F3DA7"/>
    <w:rsid w:val="008A562A"/>
    <w:rsid w:val="008C5FE5"/>
    <w:rsid w:val="00922746"/>
    <w:rsid w:val="00A836D0"/>
    <w:rsid w:val="00AC35DA"/>
    <w:rsid w:val="00B92D0F"/>
    <w:rsid w:val="00C9578C"/>
    <w:rsid w:val="00D707B3"/>
    <w:rsid w:val="00F2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B592CDF-5824-4102-AC9A-117AA23D71F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14047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Karmela Badanjak</cp:lastModifiedBy>
  <cp:revision>2</cp:revision>
  <cp:lastPrinted>2014-11-26T14:09:00Z</cp:lastPrinted>
  <dcterms:created xsi:type="dcterms:W3CDTF">2024-07-09T06:07:00Z</dcterms:created>
  <dcterms:modified xsi:type="dcterms:W3CDTF">2024-07-09T06:07:00Z</dcterms:modified>
</cp:coreProperties>
</file>